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833194" w:rsidRDefault="00801E77" w:rsidP="00833194">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2408C846" w:rsidR="4D76C2C4" w:rsidRDefault="00E45373" w:rsidP="4D76C2C4">
            <w:pPr>
              <w:spacing w:before="80" w:after="80" w:line="259" w:lineRule="auto"/>
              <w:rPr>
                <w:rFonts w:eastAsiaTheme="minorEastAsia"/>
                <w:color w:val="000000" w:themeColor="text1"/>
                <w:lang w:val="en-IE"/>
              </w:rPr>
            </w:pPr>
            <w:r>
              <w:rPr>
                <w:rFonts w:eastAsiaTheme="minorEastAsia"/>
                <w:color w:val="000000" w:themeColor="text1"/>
                <w:lang w:val="en-IE"/>
              </w:rPr>
              <w:t>South East Technological University</w:t>
            </w:r>
            <w:r w:rsidR="008F3D29">
              <w:rPr>
                <w:rFonts w:eastAsiaTheme="minorEastAsia"/>
                <w:color w:val="000000" w:themeColor="text1"/>
                <w:lang w:val="en-IE"/>
              </w:rPr>
              <w:t xml:space="preserve"> (SETU)</w:t>
            </w:r>
          </w:p>
        </w:tc>
      </w:tr>
      <w:tr w:rsidR="006A77B1" w14:paraId="2DF1E18A" w14:textId="77777777" w:rsidTr="008D7D1D">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65AD8A0A" w:rsidR="0019761B" w:rsidRPr="0079733A" w:rsidRDefault="008F3D29" w:rsidP="00E45373">
            <w:pPr>
              <w:spacing w:before="80" w:after="80"/>
              <w:rPr>
                <w:rFonts w:eastAsiaTheme="minorEastAsia"/>
                <w:color w:val="3B3838" w:themeColor="background2" w:themeShade="40"/>
                <w:lang w:val="en-IE"/>
              </w:rPr>
            </w:pPr>
            <w:r>
              <w:rPr>
                <w:rFonts w:eastAsiaTheme="minorEastAsia"/>
                <w:color w:val="3B3838" w:themeColor="background2" w:themeShade="40"/>
                <w:lang w:val="en-IE"/>
              </w:rPr>
              <w:t>Dr Haider Al-Juboori, SETU-</w:t>
            </w:r>
            <w:r w:rsidR="00E45373" w:rsidRPr="00E45373">
              <w:rPr>
                <w:rFonts w:eastAsiaTheme="minorEastAsia"/>
                <w:color w:val="3B3838" w:themeColor="background2" w:themeShade="40"/>
                <w:lang w:val="en-IE"/>
              </w:rPr>
              <w:t>Faculty of Engineering &amp; Built Environment,</w:t>
            </w:r>
            <w:r w:rsidR="00E45373">
              <w:rPr>
                <w:rFonts w:eastAsiaTheme="minorEastAsia"/>
                <w:color w:val="3B3838" w:themeColor="background2" w:themeShade="40"/>
                <w:lang w:val="en-IE"/>
              </w:rPr>
              <w:t xml:space="preserve"> </w:t>
            </w:r>
            <w:r w:rsidR="00E45373" w:rsidRPr="00E45373">
              <w:rPr>
                <w:rFonts w:eastAsiaTheme="minorEastAsia"/>
                <w:color w:val="3B3838" w:themeColor="background2" w:themeShade="40"/>
                <w:lang w:val="en-IE"/>
              </w:rPr>
              <w:t>Dept. of</w:t>
            </w:r>
            <w:r w:rsidR="00E45373">
              <w:rPr>
                <w:rFonts w:eastAsiaTheme="minorEastAsia"/>
                <w:color w:val="3B3838" w:themeColor="background2" w:themeShade="40"/>
                <w:lang w:val="en-IE"/>
              </w:rPr>
              <w:t xml:space="preserve"> </w:t>
            </w:r>
            <w:r w:rsidR="00E45373" w:rsidRPr="00E45373">
              <w:rPr>
                <w:rFonts w:eastAsiaTheme="minorEastAsia"/>
                <w:color w:val="3B3838" w:themeColor="background2" w:themeShade="40"/>
                <w:lang w:val="en-IE"/>
              </w:rPr>
              <w:t>Electronics</w:t>
            </w:r>
            <w:r w:rsidR="00E45373">
              <w:rPr>
                <w:rFonts w:eastAsiaTheme="minorEastAsia"/>
                <w:color w:val="3B3838" w:themeColor="background2" w:themeShade="40"/>
                <w:lang w:val="en-IE"/>
              </w:rPr>
              <w:t xml:space="preserve"> </w:t>
            </w:r>
            <w:r w:rsidR="00E45373" w:rsidRPr="00E45373">
              <w:rPr>
                <w:rFonts w:eastAsiaTheme="minorEastAsia"/>
                <w:color w:val="3B3838" w:themeColor="background2" w:themeShade="40"/>
                <w:lang w:val="en-IE"/>
              </w:rPr>
              <w:t>Engineering</w:t>
            </w:r>
            <w:r w:rsidR="00E45373">
              <w:rPr>
                <w:rFonts w:eastAsiaTheme="minorEastAsia"/>
                <w:color w:val="3B3838" w:themeColor="background2" w:themeShade="40"/>
                <w:lang w:val="en-IE"/>
              </w:rPr>
              <w:t xml:space="preserve"> </w:t>
            </w:r>
            <w:r w:rsidR="00E45373" w:rsidRPr="00E45373">
              <w:rPr>
                <w:rFonts w:eastAsiaTheme="minorEastAsia"/>
                <w:color w:val="3B3838" w:themeColor="background2" w:themeShade="40"/>
                <w:lang w:val="en-IE"/>
              </w:rPr>
              <w:t>and Communications</w:t>
            </w:r>
            <w:r w:rsidR="00E45373">
              <w:rPr>
                <w:rFonts w:eastAsiaTheme="minorEastAsia"/>
                <w:color w:val="3B3838" w:themeColor="background2" w:themeShade="40"/>
                <w:lang w:val="en-IE"/>
              </w:rPr>
              <w:t>.</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6950678C" w:rsidR="0079733A" w:rsidRPr="0079733A" w:rsidRDefault="00512197"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T</w:t>
            </w:r>
            <w:r w:rsidR="00503554" w:rsidRPr="0079733A">
              <w:rPr>
                <w:rFonts w:eastAsiaTheme="minorEastAsia"/>
                <w:color w:val="3B3838" w:themeColor="background2" w:themeShade="40"/>
                <w:lang w:val="en-IE"/>
              </w:rPr>
              <w:t xml:space="preserve">he </w:t>
            </w:r>
            <w:r w:rsidR="005163E2" w:rsidRPr="0079733A">
              <w:rPr>
                <w:rFonts w:eastAsiaTheme="minorEastAsia"/>
                <w:color w:val="3B3838" w:themeColor="background2" w:themeShade="40"/>
                <w:lang w:val="en-IE"/>
              </w:rPr>
              <w:t>academic year 20</w:t>
            </w:r>
            <w:r w:rsidR="00503554" w:rsidRPr="0079733A">
              <w:rPr>
                <w:rFonts w:eastAsiaTheme="minorEastAsia"/>
                <w:color w:val="3B3838" w:themeColor="background2" w:themeShade="40"/>
                <w:lang w:val="en-IE"/>
              </w:rPr>
              <w:t>2</w:t>
            </w:r>
            <w:r w:rsidR="00D92544">
              <w:rPr>
                <w:rFonts w:eastAsiaTheme="minorEastAsia"/>
                <w:color w:val="3B3838" w:themeColor="background2" w:themeShade="40"/>
                <w:lang w:val="en-IE"/>
              </w:rPr>
              <w:t>2</w:t>
            </w:r>
            <w:r w:rsidR="00503554" w:rsidRPr="0079733A">
              <w:rPr>
                <w:rFonts w:eastAsiaTheme="minorEastAsia"/>
                <w:color w:val="3B3838" w:themeColor="background2" w:themeShade="40"/>
                <w:lang w:val="en-IE"/>
              </w:rPr>
              <w:t xml:space="preserve"> – 202</w:t>
            </w:r>
            <w:r w:rsidR="00D92544">
              <w:rPr>
                <w:rFonts w:eastAsiaTheme="minorEastAsia"/>
                <w:color w:val="3B3838" w:themeColor="background2" w:themeShade="40"/>
                <w:lang w:val="en-IE"/>
              </w:rPr>
              <w:t>3</w:t>
            </w:r>
            <w:r w:rsidR="00503554" w:rsidRPr="0079733A">
              <w:rPr>
                <w:rFonts w:eastAsiaTheme="minorEastAsia"/>
                <w:color w:val="3B3838" w:themeColor="background2" w:themeShade="40"/>
                <w:lang w:val="en-IE"/>
              </w:rPr>
              <w:t xml:space="preserve"> and ongoing</w:t>
            </w:r>
            <w:r w:rsidR="00F319EA">
              <w:rPr>
                <w:rFonts w:eastAsiaTheme="minorEastAsia"/>
                <w:color w:val="3B3838" w:themeColor="background2" w:themeShade="40"/>
                <w:lang w:val="en-IE"/>
              </w:rPr>
              <w:t>.</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7244B23D" w:rsidR="0019761B" w:rsidRPr="0079733A" w:rsidRDefault="00512197"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Around </w:t>
            </w:r>
            <w:r w:rsidR="00E45373">
              <w:rPr>
                <w:rFonts w:eastAsiaTheme="minorEastAsia"/>
                <w:color w:val="3B3838" w:themeColor="background2" w:themeShade="40"/>
                <w:lang w:val="en-IE"/>
              </w:rPr>
              <w:t>30</w:t>
            </w:r>
            <w:r>
              <w:rPr>
                <w:rFonts w:eastAsiaTheme="minorEastAsia"/>
                <w:color w:val="3B3838" w:themeColor="background2" w:themeShade="40"/>
                <w:lang w:val="en-IE"/>
              </w:rPr>
              <w:t xml:space="preserve"> students in initial case-study</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56CE13BB" w:rsidR="4D76C2C4" w:rsidRPr="008F3D29" w:rsidRDefault="00E45373" w:rsidP="00893AAD">
            <w:pPr>
              <w:spacing w:before="80" w:after="80" w:line="259" w:lineRule="auto"/>
              <w:jc w:val="both"/>
              <w:rPr>
                <w:rFonts w:eastAsiaTheme="minorEastAsia"/>
                <w:b/>
                <w:bCs/>
                <w:color w:val="3B3838" w:themeColor="background2" w:themeShade="40"/>
                <w:lang w:val="en-IE"/>
              </w:rPr>
            </w:pPr>
            <w:r w:rsidRPr="00893AAD">
              <w:rPr>
                <w:rFonts w:ascii="Open Sans" w:eastAsiaTheme="majorEastAsia" w:hAnsi="Open Sans" w:cs="Open Sans"/>
                <w:b/>
                <w:bCs/>
                <w:color w:val="1C1D1E"/>
                <w:sz w:val="18"/>
                <w:szCs w:val="18"/>
              </w:rPr>
              <w:t>Design of adaptive augmented reality system to enhance learning outcomes: a case study for electronic/mechanical engineering applications</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1DD210A2" w14:textId="77777777" w:rsidR="0058208E" w:rsidRDefault="0058208E" w:rsidP="003E072F">
            <w:pPr>
              <w:spacing w:line="259" w:lineRule="auto"/>
              <w:jc w:val="both"/>
              <w:rPr>
                <w:rFonts w:eastAsiaTheme="minorEastAsia"/>
                <w:color w:val="3B3838" w:themeColor="background2" w:themeShade="40"/>
                <w:lang w:val="en-IE"/>
              </w:rPr>
            </w:pPr>
            <w:r w:rsidRPr="0058208E">
              <w:rPr>
                <w:rFonts w:eastAsiaTheme="minorEastAsia"/>
                <w:color w:val="3B3838" w:themeColor="background2" w:themeShade="40"/>
              </w:rPr>
              <w:t xml:space="preserve">The primary goal of </w:t>
            </w:r>
            <w:r>
              <w:rPr>
                <w:rFonts w:eastAsiaTheme="minorEastAsia"/>
                <w:color w:val="3B3838" w:themeColor="background2" w:themeShade="40"/>
              </w:rPr>
              <w:t xml:space="preserve">this initiative </w:t>
            </w:r>
            <w:r w:rsidRPr="0058208E">
              <w:rPr>
                <w:rFonts w:eastAsiaTheme="minorEastAsia"/>
                <w:color w:val="3B3838" w:themeColor="background2" w:themeShade="40"/>
              </w:rPr>
              <w:t>is to explore the potential of Virtual Reality (VR) technologies in enhancing the educational experience for engineering students, particularly in fields like electronics and aerospace engineering. The focus was on how immersive digital environments can support learning by making complex concepts more accessible and engaging. This includes the development of workshops and training sessions using VR tools, such as the Oculus Quest 2 system, to simulate real-world scenarios (like space missions) for educational purposes</w:t>
            </w:r>
            <w:r>
              <w:rPr>
                <w:rFonts w:eastAsiaTheme="minorEastAsia"/>
                <w:color w:val="3B3838" w:themeColor="background2" w:themeShade="40"/>
              </w:rPr>
              <w:t xml:space="preserve"> [1,2]</w:t>
            </w:r>
            <w:r w:rsidR="00F319EA">
              <w:rPr>
                <w:rFonts w:eastAsiaTheme="minorEastAsia"/>
                <w:color w:val="3B3838" w:themeColor="background2" w:themeShade="40"/>
                <w:lang w:val="en-IE"/>
              </w:rPr>
              <w:t>.</w:t>
            </w:r>
          </w:p>
          <w:p w14:paraId="6FA6D4D4" w14:textId="4E1376FD" w:rsidR="003E072F" w:rsidRPr="00512197" w:rsidRDefault="003E072F" w:rsidP="0058208E">
            <w:pPr>
              <w:spacing w:line="259" w:lineRule="auto"/>
              <w:rPr>
                <w:rFonts w:eastAsiaTheme="minorEastAsia"/>
                <w:b/>
                <w:bCs/>
                <w:color w:val="3B3838" w:themeColor="background2" w:themeShade="40"/>
                <w:sz w:val="18"/>
                <w:szCs w:val="18"/>
                <w:u w:val="single"/>
                <w:lang w:val="en-IE"/>
              </w:rPr>
            </w:pPr>
            <w:r w:rsidRPr="00512197">
              <w:rPr>
                <w:rFonts w:eastAsiaTheme="minorEastAsia"/>
                <w:b/>
                <w:bCs/>
                <w:color w:val="3B3838" w:themeColor="background2" w:themeShade="40"/>
                <w:sz w:val="18"/>
                <w:szCs w:val="18"/>
                <w:u w:val="single"/>
                <w:lang w:val="en-IE"/>
              </w:rPr>
              <w:t>References:</w:t>
            </w:r>
          </w:p>
          <w:p w14:paraId="732B600F" w14:textId="5C40F724" w:rsidR="0058208E" w:rsidRPr="00512197" w:rsidRDefault="0058208E" w:rsidP="003E072F">
            <w:pPr>
              <w:spacing w:line="259" w:lineRule="auto"/>
              <w:ind w:left="177" w:hanging="177"/>
              <w:jc w:val="both"/>
              <w:rPr>
                <w:rFonts w:eastAsiaTheme="minorEastAsia"/>
                <w:b/>
                <w:bCs/>
                <w:color w:val="3B3838" w:themeColor="background2" w:themeShade="40"/>
                <w:sz w:val="18"/>
                <w:szCs w:val="18"/>
              </w:rPr>
            </w:pPr>
            <w:r w:rsidRPr="00512197">
              <w:rPr>
                <w:rFonts w:eastAsiaTheme="minorEastAsia"/>
                <w:b/>
                <w:bCs/>
                <w:color w:val="3B3838" w:themeColor="background2" w:themeShade="40"/>
                <w:sz w:val="18"/>
                <w:szCs w:val="18"/>
                <w:lang w:val="en-IE"/>
              </w:rPr>
              <w:t xml:space="preserve">[1] </w:t>
            </w:r>
            <w:r w:rsidR="003E072F" w:rsidRPr="00512197">
              <w:rPr>
                <w:rFonts w:eastAsiaTheme="minorEastAsia"/>
                <w:b/>
                <w:bCs/>
                <w:color w:val="3B3838" w:themeColor="background2" w:themeShade="40"/>
                <w:sz w:val="18"/>
                <w:szCs w:val="18"/>
              </w:rPr>
              <w:t>Al-Juboori, Haider, and Gina Noonan</w:t>
            </w:r>
            <w:r w:rsidRPr="00512197">
              <w:rPr>
                <w:rFonts w:eastAsiaTheme="minorEastAsia"/>
                <w:b/>
                <w:bCs/>
                <w:color w:val="3B3838" w:themeColor="background2" w:themeShade="40"/>
                <w:sz w:val="18"/>
                <w:szCs w:val="18"/>
                <w:lang w:val="en-IE"/>
              </w:rPr>
              <w:t xml:space="preserve">, V. O Brien, and D. Picovicl. </w:t>
            </w:r>
            <w:r w:rsidRPr="00512197">
              <w:rPr>
                <w:rFonts w:eastAsiaTheme="minorEastAsia"/>
                <w:b/>
                <w:bCs/>
                <w:color w:val="3B3838" w:themeColor="background2" w:themeShade="40"/>
                <w:sz w:val="18"/>
                <w:szCs w:val="18"/>
              </w:rPr>
              <w:t>"Instructional Considerations For Virtual Reality In Engineering Training And Education: Preliminary Research Results." (2023).</w:t>
            </w:r>
          </w:p>
          <w:p w14:paraId="5078B1CF" w14:textId="23FB0ED8" w:rsidR="6943DD51" w:rsidRPr="0079733A" w:rsidRDefault="0058208E" w:rsidP="003E072F">
            <w:pPr>
              <w:spacing w:line="259" w:lineRule="auto"/>
              <w:ind w:left="177" w:hanging="177"/>
              <w:jc w:val="both"/>
              <w:rPr>
                <w:rFonts w:eastAsiaTheme="minorEastAsia"/>
                <w:color w:val="3B3838" w:themeColor="background2" w:themeShade="40"/>
                <w:lang w:val="en-IE"/>
              </w:rPr>
            </w:pPr>
            <w:r w:rsidRPr="00512197">
              <w:rPr>
                <w:rFonts w:eastAsiaTheme="minorEastAsia"/>
                <w:b/>
                <w:bCs/>
                <w:color w:val="3B3838" w:themeColor="background2" w:themeShade="40"/>
                <w:sz w:val="18"/>
                <w:szCs w:val="18"/>
              </w:rPr>
              <w:t xml:space="preserve">[2] </w:t>
            </w:r>
            <w:r w:rsidR="003E072F" w:rsidRPr="00512197">
              <w:rPr>
                <w:rFonts w:eastAsiaTheme="minorEastAsia"/>
                <w:b/>
                <w:bCs/>
                <w:color w:val="3B3838" w:themeColor="background2" w:themeShade="40"/>
                <w:sz w:val="18"/>
                <w:szCs w:val="18"/>
              </w:rPr>
              <w:t>Al-Juboori, Haider, and Gina Noonan. "Leveraging the Power of Digital Immersive Technologies to Enhance Engineering Education and Learning." In </w:t>
            </w:r>
            <w:r w:rsidR="003E072F" w:rsidRPr="00512197">
              <w:rPr>
                <w:rFonts w:eastAsiaTheme="minorEastAsia"/>
                <w:b/>
                <w:bCs/>
                <w:i/>
                <w:iCs/>
                <w:color w:val="3B3838" w:themeColor="background2" w:themeShade="40"/>
                <w:sz w:val="18"/>
                <w:szCs w:val="18"/>
              </w:rPr>
              <w:t>2024 IEEE Global Engineering Education Conference (EDUCON)</w:t>
            </w:r>
            <w:r w:rsidR="003E072F" w:rsidRPr="00512197">
              <w:rPr>
                <w:rFonts w:eastAsiaTheme="minorEastAsia"/>
                <w:b/>
                <w:bCs/>
                <w:color w:val="3B3838" w:themeColor="background2" w:themeShade="40"/>
                <w:sz w:val="18"/>
                <w:szCs w:val="18"/>
              </w:rPr>
              <w:t>, pp. 1-5. IEEE, 2024.</w:t>
            </w:r>
            <w:r w:rsidRPr="00512197">
              <w:rPr>
                <w:rFonts w:eastAsiaTheme="minorEastAsia"/>
                <w:b/>
                <w:bCs/>
                <w:color w:val="3B3838" w:themeColor="background2" w:themeShade="40"/>
                <w:sz w:val="18"/>
                <w:szCs w:val="18"/>
                <w:lang w:val="en-IE"/>
              </w:rPr>
              <w:t xml:space="preserve">  </w:t>
            </w:r>
          </w:p>
        </w:tc>
      </w:tr>
      <w:tr w:rsidR="4D76C2C4" w14:paraId="4B50D7CE" w14:textId="77777777" w:rsidTr="008D7D1D">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13319B1E" w14:textId="0929C663" w:rsidR="4D76C2C4" w:rsidRPr="0079733A" w:rsidRDefault="0058208E" w:rsidP="003E072F">
            <w:pPr>
              <w:spacing w:line="259" w:lineRule="auto"/>
              <w:jc w:val="both"/>
              <w:rPr>
                <w:rFonts w:eastAsiaTheme="minorEastAsia"/>
                <w:color w:val="3B3838" w:themeColor="background2" w:themeShade="40"/>
                <w:lang w:val="en-IE"/>
              </w:rPr>
            </w:pPr>
            <w:r w:rsidRPr="0058208E">
              <w:rPr>
                <w:rFonts w:eastAsiaTheme="minorEastAsia"/>
                <w:color w:val="3B3838" w:themeColor="background2" w:themeShade="40"/>
              </w:rPr>
              <w:t>The initiative was motivated by the need to address challenges in teaching complex engineering concepts that are difficult to convey through traditional methods. It was recognized that immersive technologies could simplify complicated topics, make learning more interactive, and cater to students' varying levels of understanding. Furthermore, the COVID-19 pandemic highlighted the necessity for remote learning solutions, making VR an attractive option for virtual labs and simulations. This need is especially relevant in disciplines requiring practical engagement with sophisticated systems and scenarios​</w:t>
            </w:r>
          </w:p>
        </w:tc>
      </w:tr>
      <w:tr w:rsidR="4D76C2C4" w14:paraId="4F07039D" w14:textId="77777777" w:rsidTr="008D7D1D">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lastRenderedPageBreak/>
              <w:t>(internal, local or national)</w:t>
            </w:r>
          </w:p>
        </w:tc>
        <w:tc>
          <w:tcPr>
            <w:tcW w:w="7087" w:type="dxa"/>
            <w:tcMar>
              <w:left w:w="105" w:type="dxa"/>
              <w:right w:w="105" w:type="dxa"/>
            </w:tcMar>
          </w:tcPr>
          <w:p w14:paraId="043A70E8" w14:textId="77777777" w:rsidR="0058208E" w:rsidRPr="0058208E" w:rsidRDefault="0058208E" w:rsidP="0058208E">
            <w:pPr>
              <w:spacing w:line="259" w:lineRule="auto"/>
              <w:rPr>
                <w:rFonts w:eastAsiaTheme="minorEastAsia"/>
                <w:color w:val="000000" w:themeColor="text1"/>
                <w:lang w:val="en-IE"/>
              </w:rPr>
            </w:pPr>
            <w:r w:rsidRPr="0058208E">
              <w:rPr>
                <w:rFonts w:eastAsiaTheme="minorEastAsia"/>
                <w:color w:val="000000" w:themeColor="text1"/>
                <w:lang w:val="en-IE"/>
              </w:rPr>
              <w:lastRenderedPageBreak/>
              <w:t>The projects align with several internal and national frameworks:</w:t>
            </w:r>
          </w:p>
          <w:p w14:paraId="510A1566" w14:textId="77777777" w:rsidR="0058208E" w:rsidRPr="0058208E" w:rsidRDefault="0058208E" w:rsidP="003E072F">
            <w:pPr>
              <w:numPr>
                <w:ilvl w:val="0"/>
                <w:numId w:val="2"/>
              </w:numPr>
              <w:spacing w:line="259" w:lineRule="auto"/>
              <w:jc w:val="both"/>
              <w:rPr>
                <w:rFonts w:eastAsiaTheme="minorEastAsia"/>
                <w:color w:val="000000" w:themeColor="text1"/>
                <w:lang w:val="en-IE"/>
              </w:rPr>
            </w:pPr>
            <w:r w:rsidRPr="0058208E">
              <w:rPr>
                <w:rFonts w:eastAsiaTheme="minorEastAsia"/>
                <w:b/>
                <w:bCs/>
                <w:color w:val="000000" w:themeColor="text1"/>
                <w:lang w:val="en-IE"/>
              </w:rPr>
              <w:t>Strategic Alignment of Teaching and Learning Enhancement (SATLE)</w:t>
            </w:r>
            <w:r w:rsidRPr="0058208E">
              <w:rPr>
                <w:rFonts w:eastAsiaTheme="minorEastAsia"/>
                <w:color w:val="000000" w:themeColor="text1"/>
                <w:lang w:val="en-IE"/>
              </w:rPr>
              <w:t xml:space="preserve">: Supported by funding from the National Forum for the Enhancement </w:t>
            </w:r>
            <w:r w:rsidRPr="0058208E">
              <w:rPr>
                <w:rFonts w:eastAsiaTheme="minorEastAsia"/>
                <w:color w:val="000000" w:themeColor="text1"/>
                <w:lang w:val="en-IE"/>
              </w:rPr>
              <w:lastRenderedPageBreak/>
              <w:t>of Teaching and Learning, emphasizing the integration of digital tools in higher education.</w:t>
            </w:r>
          </w:p>
          <w:p w14:paraId="0AE3CED6" w14:textId="5413E189" w:rsidR="0058208E" w:rsidRPr="0058208E" w:rsidRDefault="0058208E" w:rsidP="003E072F">
            <w:pPr>
              <w:numPr>
                <w:ilvl w:val="0"/>
                <w:numId w:val="2"/>
              </w:numPr>
              <w:spacing w:line="259" w:lineRule="auto"/>
              <w:jc w:val="both"/>
              <w:rPr>
                <w:rFonts w:eastAsiaTheme="minorEastAsia"/>
                <w:color w:val="000000" w:themeColor="text1"/>
                <w:lang w:val="en-IE"/>
              </w:rPr>
            </w:pPr>
            <w:r w:rsidRPr="0058208E">
              <w:rPr>
                <w:rFonts w:eastAsiaTheme="minorEastAsia"/>
                <w:b/>
                <w:bCs/>
                <w:color w:val="000000" w:themeColor="text1"/>
                <w:lang w:val="en-IE"/>
              </w:rPr>
              <w:t>SETU’s Vision</w:t>
            </w:r>
            <w:r w:rsidRPr="0058208E">
              <w:rPr>
                <w:rFonts w:eastAsiaTheme="minorEastAsia"/>
                <w:color w:val="000000" w:themeColor="text1"/>
                <w:lang w:val="en-IE"/>
              </w:rPr>
              <w:t xml:space="preserve">: The focus on digital transformation within the university’s </w:t>
            </w:r>
            <w:r w:rsidR="00313685">
              <w:rPr>
                <w:rFonts w:eastAsiaTheme="minorEastAsia"/>
                <w:color w:val="000000" w:themeColor="text1"/>
                <w:lang w:val="en-IE"/>
              </w:rPr>
              <w:t xml:space="preserve">Strategic Plan 2023-2028, </w:t>
            </w:r>
            <w:hyperlink r:id="rId11" w:history="1">
              <w:r w:rsidR="00721488" w:rsidRPr="002A5C54">
                <w:rPr>
                  <w:rStyle w:val="Hyperlink"/>
                  <w:i/>
                  <w:iCs/>
                </w:rPr>
                <w:t>Connecting for Impact</w:t>
              </w:r>
            </w:hyperlink>
            <w:r w:rsidR="00721488">
              <w:rPr>
                <w:rFonts w:eastAsiaTheme="minorEastAsia"/>
                <w:color w:val="000000" w:themeColor="text1"/>
                <w:lang w:val="en-IE"/>
              </w:rPr>
              <w:t>,</w:t>
            </w:r>
            <w:r w:rsidRPr="0058208E">
              <w:rPr>
                <w:rFonts w:eastAsiaTheme="minorEastAsia"/>
                <w:color w:val="000000" w:themeColor="text1"/>
                <w:lang w:val="en-IE"/>
              </w:rPr>
              <w:t xml:space="preserve"> </w:t>
            </w:r>
            <w:r w:rsidR="00D77298">
              <w:rPr>
                <w:rFonts w:eastAsiaTheme="minorEastAsia"/>
                <w:color w:val="000000" w:themeColor="text1"/>
                <w:lang w:val="en-IE"/>
              </w:rPr>
              <w:t>foregrounds</w:t>
            </w:r>
            <w:r w:rsidR="00D77298" w:rsidRPr="0058208E">
              <w:rPr>
                <w:rFonts w:eastAsiaTheme="minorEastAsia"/>
                <w:color w:val="000000" w:themeColor="text1"/>
                <w:lang w:val="en-IE"/>
              </w:rPr>
              <w:t xml:space="preserve"> </w:t>
            </w:r>
            <w:r w:rsidRPr="0058208E">
              <w:rPr>
                <w:rFonts w:eastAsiaTheme="minorEastAsia"/>
                <w:color w:val="000000" w:themeColor="text1"/>
                <w:lang w:val="en-IE"/>
              </w:rPr>
              <w:t>innovative teaching</w:t>
            </w:r>
            <w:r w:rsidR="00017AB4">
              <w:rPr>
                <w:rFonts w:eastAsiaTheme="minorEastAsia"/>
                <w:color w:val="000000" w:themeColor="text1"/>
                <w:lang w:val="en-IE"/>
              </w:rPr>
              <w:t>, learning and assessment strategies.</w:t>
            </w:r>
          </w:p>
          <w:p w14:paraId="6082A6FB" w14:textId="155B04C6" w:rsidR="0058208E" w:rsidRPr="0058208E" w:rsidRDefault="0058208E" w:rsidP="003E072F">
            <w:pPr>
              <w:numPr>
                <w:ilvl w:val="0"/>
                <w:numId w:val="2"/>
              </w:numPr>
              <w:spacing w:line="259" w:lineRule="auto"/>
              <w:jc w:val="both"/>
              <w:rPr>
                <w:rFonts w:eastAsiaTheme="minorEastAsia"/>
                <w:color w:val="000000" w:themeColor="text1"/>
                <w:lang w:val="en-IE"/>
              </w:rPr>
            </w:pPr>
            <w:r w:rsidRPr="0058208E">
              <w:rPr>
                <w:rFonts w:eastAsiaTheme="minorEastAsia"/>
                <w:b/>
                <w:bCs/>
                <w:color w:val="000000" w:themeColor="text1"/>
                <w:lang w:val="en-IE"/>
              </w:rPr>
              <w:t>Irish National Framework for Digital Skills</w:t>
            </w:r>
            <w:r w:rsidRPr="0058208E">
              <w:rPr>
                <w:rFonts w:eastAsiaTheme="minorEastAsia"/>
                <w:color w:val="000000" w:themeColor="text1"/>
                <w:lang w:val="en-IE"/>
              </w:rPr>
              <w:t>: This aligns with the national agenda to boost digital competencies in education, particularly through immersive technologies​</w:t>
            </w:r>
            <w:r w:rsidR="000D4AB3">
              <w:rPr>
                <w:rFonts w:eastAsiaTheme="minorEastAsia"/>
                <w:color w:val="000000" w:themeColor="text1"/>
                <w:lang w:val="en-IE"/>
              </w:rPr>
              <w:t>.</w:t>
            </w:r>
          </w:p>
          <w:p w14:paraId="53DC49CA" w14:textId="51FA97D2" w:rsidR="006A77B1" w:rsidRDefault="006A77B1" w:rsidP="4D76C2C4">
            <w:pPr>
              <w:spacing w:line="259" w:lineRule="auto"/>
              <w:rPr>
                <w:rFonts w:eastAsiaTheme="minorEastAsia"/>
                <w:color w:val="000000" w:themeColor="text1"/>
                <w:lang w:val="en-IE"/>
              </w:rPr>
            </w:pP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lastRenderedPageBreak/>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66DDB73C" w14:textId="25BCFE71" w:rsidR="4D76C2C4" w:rsidRPr="0079733A" w:rsidRDefault="0058208E" w:rsidP="003E072F">
            <w:pPr>
              <w:spacing w:line="259" w:lineRule="auto"/>
              <w:jc w:val="both"/>
              <w:rPr>
                <w:rFonts w:eastAsiaTheme="minorEastAsia"/>
                <w:color w:val="3B3838" w:themeColor="background2" w:themeShade="40"/>
                <w:lang w:val="en-IE"/>
              </w:rPr>
            </w:pPr>
            <w:r w:rsidRPr="0058208E">
              <w:rPr>
                <w:rFonts w:eastAsiaTheme="minorEastAsia"/>
                <w:color w:val="3B3838" w:themeColor="background2" w:themeShade="40"/>
              </w:rPr>
              <w:t xml:space="preserve">The </w:t>
            </w:r>
            <w:r>
              <w:rPr>
                <w:rFonts w:eastAsiaTheme="minorEastAsia"/>
                <w:color w:val="3B3838" w:themeColor="background2" w:themeShade="40"/>
              </w:rPr>
              <w:t xml:space="preserve">initiative </w:t>
            </w:r>
            <w:r w:rsidRPr="0058208E">
              <w:rPr>
                <w:rFonts w:eastAsiaTheme="minorEastAsia"/>
                <w:color w:val="3B3838" w:themeColor="background2" w:themeShade="40"/>
              </w:rPr>
              <w:t>explore</w:t>
            </w:r>
            <w:r w:rsidR="00103B06">
              <w:rPr>
                <w:rFonts w:eastAsiaTheme="minorEastAsia"/>
                <w:color w:val="3B3838" w:themeColor="background2" w:themeShade="40"/>
              </w:rPr>
              <w:t>s</w:t>
            </w:r>
            <w:r w:rsidRPr="0058208E">
              <w:rPr>
                <w:rFonts w:eastAsiaTheme="minorEastAsia"/>
                <w:color w:val="3B3838" w:themeColor="background2" w:themeShade="40"/>
              </w:rPr>
              <w:t xml:space="preserve"> the integration of immersive VR tools in engineering education, using the Oculus Quest 2 system to simulate real-world scenarios. This approach is based on the premise that VR can provide students with hands-on experience in a virtual environment, making it easier to grasp complex engineering concepts. One case study used VR to simulate space missions, allowing students to explore the International Space Station and experience a partial zero-gravity environment. The findings from the studies suggest that students were highly motivated and engaged when using VR, reporting enhanced understanding and retention of information. Challenges included the initial learning curve for the equipment and the sensitivity of VR tools in an educational setting. The research underlined the potential of VR to improve the accessibility of high-cost, complex lab experiments, making them available to a broader range of students. Overall, the initiative has shown promise in aligning educational outcomes with digital transformation goals, providing a new platform for interactive learning in higher education.</w:t>
            </w: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ABAA712" w14:textId="07459A05" w:rsidR="006A77B1" w:rsidRPr="0079733A" w:rsidRDefault="008F3D29" w:rsidP="008F3D29">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Dr. </w:t>
            </w:r>
            <w:r w:rsidRPr="008F3D29">
              <w:rPr>
                <w:rFonts w:eastAsiaTheme="minorEastAsia"/>
                <w:color w:val="3B3838" w:themeColor="background2" w:themeShade="40"/>
                <w:lang w:val="en-IE"/>
              </w:rPr>
              <w:t>Gina Noonan</w:t>
            </w:r>
            <w:r>
              <w:rPr>
                <w:rFonts w:eastAsiaTheme="minorEastAsia"/>
                <w:color w:val="3B3838" w:themeColor="background2" w:themeShade="40"/>
                <w:lang w:val="en-IE"/>
              </w:rPr>
              <w:t xml:space="preserve"> (</w:t>
            </w:r>
            <w:r w:rsidRPr="008F3D29">
              <w:rPr>
                <w:rFonts w:eastAsiaTheme="minorEastAsia"/>
                <w:i/>
                <w:iCs/>
                <w:color w:val="3B3838" w:themeColor="background2" w:themeShade="40"/>
                <w:lang w:val="en-IE"/>
              </w:rPr>
              <w:t>Teaching and Learning Centre</w:t>
            </w:r>
            <w:r>
              <w:rPr>
                <w:rFonts w:eastAsiaTheme="minorEastAsia"/>
                <w:i/>
                <w:iCs/>
                <w:color w:val="3B3838" w:themeColor="background2" w:themeShade="40"/>
                <w:lang w:val="en-IE"/>
              </w:rPr>
              <w:t xml:space="preserve">), </w:t>
            </w:r>
            <w:r w:rsidRPr="008F3D29">
              <w:rPr>
                <w:rFonts w:eastAsiaTheme="minorEastAsia"/>
                <w:i/>
                <w:iCs/>
                <w:color w:val="3B3838" w:themeColor="background2" w:themeShade="40"/>
                <w:lang w:val="en-IE"/>
              </w:rPr>
              <w:t xml:space="preserve">South East Technological University </w:t>
            </w:r>
            <w:r w:rsidRPr="008F3D29">
              <w:rPr>
                <w:rFonts w:eastAsiaTheme="minorEastAsia"/>
                <w:color w:val="3B3838" w:themeColor="background2" w:themeShade="40"/>
                <w:lang w:val="en-IE"/>
              </w:rPr>
              <w:t>(</w:t>
            </w:r>
            <w:r w:rsidRPr="008F3D29">
              <w:rPr>
                <w:rFonts w:eastAsiaTheme="minorEastAsia"/>
                <w:i/>
                <w:iCs/>
                <w:color w:val="3B3838" w:themeColor="background2" w:themeShade="40"/>
                <w:lang w:val="en-IE"/>
              </w:rPr>
              <w:t>SETU</w:t>
            </w:r>
            <w:r w:rsidRPr="008F3D29">
              <w:rPr>
                <w:rFonts w:eastAsiaTheme="minorEastAsia"/>
                <w:color w:val="3B3838" w:themeColor="background2" w:themeShade="40"/>
                <w:lang w:val="en-IE"/>
              </w:rPr>
              <w:t>)</w:t>
            </w:r>
          </w:p>
          <w:p w14:paraId="0449D492" w14:textId="77777777" w:rsidR="006A77B1" w:rsidRPr="0079733A" w:rsidRDefault="006A77B1" w:rsidP="4D76C2C4">
            <w:pPr>
              <w:spacing w:line="259" w:lineRule="auto"/>
              <w:rPr>
                <w:rFonts w:eastAsiaTheme="minorEastAsia"/>
                <w:color w:val="3B3838" w:themeColor="background2" w:themeShade="40"/>
                <w:lang w:val="en-IE"/>
              </w:rPr>
            </w:pPr>
          </w:p>
          <w:p w14:paraId="216F10CB" w14:textId="77777777" w:rsidR="006A77B1" w:rsidRPr="0079733A" w:rsidRDefault="006A77B1" w:rsidP="4D76C2C4">
            <w:pPr>
              <w:spacing w:line="259" w:lineRule="auto"/>
              <w:rPr>
                <w:rFonts w:eastAsiaTheme="minorEastAsia"/>
                <w:color w:val="3B3838" w:themeColor="background2" w:themeShade="40"/>
                <w:lang w:val="en-IE"/>
              </w:rPr>
            </w:pP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78B83AD4" w14:textId="5518930E" w:rsidR="003E072F" w:rsidRPr="003E072F" w:rsidRDefault="003E072F" w:rsidP="003E072F">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 </w:t>
            </w:r>
            <w:r w:rsidRPr="003E072F">
              <w:rPr>
                <w:rFonts w:eastAsiaTheme="minorEastAsia"/>
                <w:b/>
                <w:bCs/>
                <w:color w:val="3B3838" w:themeColor="background2" w:themeShade="40"/>
                <w:lang w:val="en-IE"/>
              </w:rPr>
              <w:t>Action Planning</w:t>
            </w:r>
            <w:r w:rsidRPr="003E072F">
              <w:rPr>
                <w:rFonts w:eastAsiaTheme="minorEastAsia"/>
                <w:color w:val="3B3838" w:themeColor="background2" w:themeShade="40"/>
                <w:lang w:val="en-IE"/>
              </w:rPr>
              <w:t>: Designed workshops involving VR technologies, focusing on specific engineering applications, and obtained ethical approval from SETU’s Research Ethics Committee.</w:t>
            </w:r>
          </w:p>
          <w:p w14:paraId="4EB5DAD0" w14:textId="4030B781" w:rsidR="003E072F" w:rsidRPr="003E072F" w:rsidRDefault="003E072F" w:rsidP="003E072F">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w:t>
            </w:r>
            <w:r w:rsidRPr="003E072F">
              <w:rPr>
                <w:rFonts w:eastAsiaTheme="minorEastAsia"/>
                <w:color w:val="3B3838" w:themeColor="background2" w:themeShade="40"/>
                <w:lang w:val="en-IE"/>
              </w:rPr>
              <w:t xml:space="preserve">  </w:t>
            </w:r>
            <w:r w:rsidRPr="003E072F">
              <w:rPr>
                <w:rFonts w:eastAsiaTheme="minorEastAsia"/>
                <w:b/>
                <w:bCs/>
                <w:color w:val="3B3838" w:themeColor="background2" w:themeShade="40"/>
                <w:lang w:val="en-IE"/>
              </w:rPr>
              <w:t>Piloting</w:t>
            </w:r>
            <w:r w:rsidRPr="003E072F">
              <w:rPr>
                <w:rFonts w:eastAsiaTheme="minorEastAsia"/>
                <w:color w:val="3B3838" w:themeColor="background2" w:themeShade="40"/>
                <w:lang w:val="en-IE"/>
              </w:rPr>
              <w:t>: Conducted preliminary training sessions with a small group of students to test the VR equipment and gather feedback.</w:t>
            </w:r>
          </w:p>
          <w:p w14:paraId="31984AE2" w14:textId="2357AC72" w:rsidR="003E072F" w:rsidRPr="003E072F" w:rsidRDefault="003E072F" w:rsidP="003E072F">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w:t>
            </w:r>
            <w:r w:rsidRPr="003E072F">
              <w:rPr>
                <w:rFonts w:eastAsiaTheme="minorEastAsia"/>
                <w:color w:val="3B3838" w:themeColor="background2" w:themeShade="40"/>
                <w:lang w:val="en-IE"/>
              </w:rPr>
              <w:t xml:space="preserve">  </w:t>
            </w:r>
            <w:r w:rsidRPr="003E072F">
              <w:rPr>
                <w:rFonts w:eastAsiaTheme="minorEastAsia"/>
                <w:b/>
                <w:bCs/>
                <w:color w:val="3B3838" w:themeColor="background2" w:themeShade="40"/>
                <w:lang w:val="en-IE"/>
              </w:rPr>
              <w:t>Committee Meetings</w:t>
            </w:r>
            <w:r w:rsidRPr="003E072F">
              <w:rPr>
                <w:rFonts w:eastAsiaTheme="minorEastAsia"/>
                <w:color w:val="3B3838" w:themeColor="background2" w:themeShade="40"/>
                <w:lang w:val="en-IE"/>
              </w:rPr>
              <w:t>: Collaborated with SETU’s Teaching and Learning Centre to align the project with institutional goals.</w:t>
            </w:r>
          </w:p>
          <w:p w14:paraId="777F748D" w14:textId="17F9D4FC" w:rsidR="006A77B1" w:rsidRPr="0079733A" w:rsidRDefault="003E072F" w:rsidP="003E072F">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w:t>
            </w:r>
            <w:r w:rsidRPr="003E072F">
              <w:rPr>
                <w:rFonts w:eastAsiaTheme="minorEastAsia"/>
                <w:color w:val="3B3838" w:themeColor="background2" w:themeShade="40"/>
                <w:lang w:val="en-IE"/>
              </w:rPr>
              <w:t xml:space="preserve">  </w:t>
            </w:r>
            <w:r w:rsidRPr="003E072F">
              <w:rPr>
                <w:rFonts w:eastAsiaTheme="minorEastAsia"/>
                <w:b/>
                <w:bCs/>
                <w:color w:val="3B3838" w:themeColor="background2" w:themeShade="40"/>
                <w:lang w:val="en-IE"/>
              </w:rPr>
              <w:t>Timeframes</w:t>
            </w:r>
            <w:r w:rsidRPr="003E072F">
              <w:rPr>
                <w:rFonts w:eastAsiaTheme="minorEastAsia"/>
                <w:color w:val="3B3838" w:themeColor="background2" w:themeShade="40"/>
                <w:lang w:val="en-IE"/>
              </w:rPr>
              <w:t>: The project was conducted over the 2022-2023 academic year, with multiple phases including planning, implementation, and evaluation​</w:t>
            </w:r>
          </w:p>
          <w:p w14:paraId="2768337B" w14:textId="00C3ED9E" w:rsidR="006A77B1" w:rsidRPr="0079733A" w:rsidRDefault="006A77B1" w:rsidP="4D76C2C4">
            <w:pPr>
              <w:spacing w:line="259" w:lineRule="auto"/>
              <w:rPr>
                <w:rFonts w:eastAsiaTheme="minorEastAsia"/>
                <w:color w:val="3B3838" w:themeColor="background2" w:themeShade="40"/>
                <w:lang w:val="en-IE"/>
              </w:rPr>
            </w:pP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2C728A38" w14:textId="7802A754" w:rsidR="003E072F" w:rsidRPr="003E072F" w:rsidRDefault="003E072F" w:rsidP="003E072F">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w:t>
            </w:r>
            <w:r w:rsidRPr="003E072F">
              <w:rPr>
                <w:rFonts w:eastAsiaTheme="minorEastAsia"/>
                <w:color w:val="3B3838" w:themeColor="background2" w:themeShade="40"/>
                <w:lang w:val="en-IE"/>
              </w:rPr>
              <w:t xml:space="preserve"> </w:t>
            </w:r>
            <w:r w:rsidRPr="003E072F">
              <w:rPr>
                <w:rFonts w:eastAsiaTheme="minorEastAsia"/>
                <w:b/>
                <w:bCs/>
                <w:color w:val="3B3838" w:themeColor="background2" w:themeShade="40"/>
                <w:lang w:val="en-IE"/>
              </w:rPr>
              <w:t>Financial</w:t>
            </w:r>
            <w:r w:rsidRPr="003E072F">
              <w:rPr>
                <w:rFonts w:eastAsiaTheme="minorEastAsia"/>
                <w:color w:val="3B3838" w:themeColor="background2" w:themeShade="40"/>
                <w:lang w:val="en-IE"/>
              </w:rPr>
              <w:t>: Funding from the SATLE Fund 2021, covering VR equipment (Oculus Quest 2) and software licenses.</w:t>
            </w:r>
          </w:p>
          <w:p w14:paraId="412D46B5" w14:textId="09A4AFBF" w:rsidR="003E072F" w:rsidRPr="003E072F" w:rsidRDefault="003E072F" w:rsidP="003E072F">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w:t>
            </w:r>
            <w:r w:rsidRPr="003E072F">
              <w:rPr>
                <w:rFonts w:eastAsiaTheme="minorEastAsia"/>
                <w:color w:val="3B3838" w:themeColor="background2" w:themeShade="40"/>
                <w:lang w:val="en-IE"/>
              </w:rPr>
              <w:t xml:space="preserve"> </w:t>
            </w:r>
            <w:r w:rsidRPr="003E072F">
              <w:rPr>
                <w:rFonts w:eastAsiaTheme="minorEastAsia"/>
                <w:b/>
                <w:bCs/>
                <w:color w:val="3B3838" w:themeColor="background2" w:themeShade="40"/>
                <w:lang w:val="en-IE"/>
              </w:rPr>
              <w:t>Staffing</w:t>
            </w:r>
            <w:r w:rsidRPr="003E072F">
              <w:rPr>
                <w:rFonts w:eastAsiaTheme="minorEastAsia"/>
                <w:color w:val="3B3838" w:themeColor="background2" w:themeShade="40"/>
                <w:lang w:val="en-IE"/>
              </w:rPr>
              <w:t>: Involvement of engineering faculty, educational technology specialists, and research assistants.</w:t>
            </w:r>
          </w:p>
          <w:p w14:paraId="0DDFC472" w14:textId="23F5670B" w:rsidR="006A77B1" w:rsidRPr="0079733A" w:rsidRDefault="003E072F" w:rsidP="003E072F">
            <w:pPr>
              <w:spacing w:line="259" w:lineRule="auto"/>
              <w:rPr>
                <w:rFonts w:eastAsiaTheme="minorEastAsia"/>
                <w:color w:val="3B3838" w:themeColor="background2" w:themeShade="40"/>
                <w:lang w:val="en-IE"/>
              </w:rPr>
            </w:pPr>
            <w:r>
              <w:rPr>
                <w:rFonts w:eastAsiaTheme="minorEastAsia"/>
                <w:color w:val="3B3838" w:themeColor="background2" w:themeShade="40"/>
                <w:lang w:val="en-IE"/>
              </w:rPr>
              <w:lastRenderedPageBreak/>
              <w:t>-</w:t>
            </w:r>
            <w:r w:rsidRPr="003E072F">
              <w:rPr>
                <w:rFonts w:eastAsiaTheme="minorEastAsia"/>
                <w:color w:val="3B3838" w:themeColor="background2" w:themeShade="40"/>
                <w:lang w:val="en-IE"/>
              </w:rPr>
              <w:t xml:space="preserve"> </w:t>
            </w:r>
            <w:r w:rsidRPr="003E072F">
              <w:rPr>
                <w:rFonts w:eastAsiaTheme="minorEastAsia"/>
                <w:b/>
                <w:bCs/>
                <w:color w:val="3B3838" w:themeColor="background2" w:themeShade="40"/>
                <w:lang w:val="en-IE"/>
              </w:rPr>
              <w:t>Technical</w:t>
            </w:r>
            <w:r w:rsidRPr="003E072F">
              <w:rPr>
                <w:rFonts w:eastAsiaTheme="minorEastAsia"/>
                <w:color w:val="3B3838" w:themeColor="background2" w:themeShade="40"/>
                <w:lang w:val="en-IE"/>
              </w:rPr>
              <w:t>: VR headsets, software for simulations (e.g., Mission), and technical support for setup and maintenance​</w:t>
            </w: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lastRenderedPageBreak/>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10C29246" w14:textId="2BDB0AEF" w:rsidR="006A77B1" w:rsidRPr="003E072F" w:rsidRDefault="003E072F" w:rsidP="003E072F">
            <w:pPr>
              <w:spacing w:line="259" w:lineRule="auto"/>
              <w:jc w:val="both"/>
              <w:rPr>
                <w:rFonts w:eastAsiaTheme="minorEastAsia"/>
                <w:color w:val="3B3838" w:themeColor="background2" w:themeShade="40"/>
              </w:rPr>
            </w:pPr>
            <w:r w:rsidRPr="003E072F">
              <w:rPr>
                <w:rFonts w:eastAsiaTheme="minorEastAsia"/>
                <w:color w:val="3B3838" w:themeColor="background2" w:themeShade="40"/>
              </w:rPr>
              <w:t>The evaluation involved student surveys and semi-structured interviews, focusing on engagement, motivation, and perceived learning effectiveness. The feedback was largely positive, with students expressing increased interest and improved understanding of engineering concepts. However, minor challenges were noted, such as the need for better training on equipment handling and the high cost of VR tools. The overall outcome was successful, indicating that VR could be a valuable addition to engineering education​</w:t>
            </w: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61B8B64A" w14:textId="48D4B8F1" w:rsidR="4D76C2C4" w:rsidRDefault="003E072F" w:rsidP="003E072F">
            <w:pPr>
              <w:spacing w:line="259" w:lineRule="auto"/>
              <w:jc w:val="both"/>
              <w:rPr>
                <w:rFonts w:ascii="Calibri" w:eastAsia="Calibri" w:hAnsi="Calibri" w:cs="Calibri"/>
                <w:color w:val="000000" w:themeColor="text1"/>
                <w:lang w:val="en-IE"/>
              </w:rPr>
            </w:pPr>
            <w:r w:rsidRPr="003E072F">
              <w:rPr>
                <w:rFonts w:ascii="Calibri" w:eastAsia="Calibri" w:hAnsi="Calibri" w:cs="Calibri"/>
                <w:color w:val="000000" w:themeColor="text1"/>
              </w:rPr>
              <w:t>Future plans include expanding the use of VR across other engineering courses and potentially broader academic disciplines. There is interest in developing a framework for integrating VR sustainably in educational curricula, including cost-effective solutions for equipment and content creation. Additionally, the team plans to investigate multi-purpose VR tools to enhance their scalability and to explore partnerships with other institutions to share resources and expertise</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578BFE46" w14:textId="1ED9338C" w:rsidR="003E072F" w:rsidRPr="003E072F" w:rsidRDefault="003E072F" w:rsidP="003E072F">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w:t>
            </w:r>
            <w:r w:rsidRPr="003E072F">
              <w:rPr>
                <w:rFonts w:ascii="Calibri" w:eastAsia="Calibri" w:hAnsi="Calibri" w:cs="Calibri"/>
                <w:color w:val="000000" w:themeColor="text1"/>
                <w:lang w:val="en-IE"/>
              </w:rPr>
              <w:t xml:space="preserve"> Immersive VR tools can make complex subjects more accessible and engaging for students.</w:t>
            </w:r>
          </w:p>
          <w:p w14:paraId="30A69866" w14:textId="4714E3CA" w:rsidR="003E072F" w:rsidRPr="003E072F" w:rsidRDefault="003E072F" w:rsidP="003E072F">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w:t>
            </w:r>
            <w:r w:rsidRPr="003E072F">
              <w:rPr>
                <w:rFonts w:ascii="Calibri" w:eastAsia="Calibri" w:hAnsi="Calibri" w:cs="Calibri"/>
                <w:color w:val="000000" w:themeColor="text1"/>
                <w:lang w:val="en-IE"/>
              </w:rPr>
              <w:t xml:space="preserve"> Training sessions need careful planning to address the learning curve associated with new technologies.</w:t>
            </w:r>
          </w:p>
          <w:p w14:paraId="02315A26" w14:textId="75AF0900" w:rsidR="003E072F" w:rsidRPr="003E072F" w:rsidRDefault="003E072F" w:rsidP="003E072F">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w:t>
            </w:r>
            <w:r w:rsidRPr="003E072F">
              <w:rPr>
                <w:rFonts w:ascii="Calibri" w:eastAsia="Calibri" w:hAnsi="Calibri" w:cs="Calibri"/>
                <w:color w:val="000000" w:themeColor="text1"/>
                <w:lang w:val="en-IE"/>
              </w:rPr>
              <w:t xml:space="preserve"> While effective, VR remains a costly solution; strategies to reduce expenses and increase accessibility are crucial.</w:t>
            </w:r>
          </w:p>
          <w:p w14:paraId="3A5C1628" w14:textId="14D4F371" w:rsidR="003E072F" w:rsidRPr="003E072F" w:rsidRDefault="003E072F" w:rsidP="003E072F">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w:t>
            </w:r>
            <w:r w:rsidRPr="003E072F">
              <w:rPr>
                <w:rFonts w:ascii="Calibri" w:eastAsia="Calibri" w:hAnsi="Calibri" w:cs="Calibri"/>
                <w:color w:val="000000" w:themeColor="text1"/>
                <w:lang w:val="en-IE"/>
              </w:rPr>
              <w:t xml:space="preserve"> Student feedback suggests VR can significantly enhance motivation and interest in technical subjects.</w:t>
            </w:r>
          </w:p>
          <w:p w14:paraId="07146E21" w14:textId="7E4B5A7B" w:rsidR="00801E77" w:rsidRDefault="003E072F" w:rsidP="003E072F">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w:t>
            </w:r>
            <w:r w:rsidRPr="003E072F">
              <w:rPr>
                <w:rFonts w:ascii="Calibri" w:eastAsia="Calibri" w:hAnsi="Calibri" w:cs="Calibri"/>
                <w:color w:val="000000" w:themeColor="text1"/>
                <w:lang w:val="en-IE"/>
              </w:rPr>
              <w:t xml:space="preserve"> The integration of VR </w:t>
            </w:r>
            <w:r>
              <w:rPr>
                <w:rFonts w:ascii="Calibri" w:eastAsia="Calibri" w:hAnsi="Calibri" w:cs="Calibri"/>
                <w:color w:val="000000" w:themeColor="text1"/>
                <w:lang w:val="en-IE"/>
              </w:rPr>
              <w:t xml:space="preserve">should </w:t>
            </w:r>
            <w:r w:rsidRPr="003E072F">
              <w:rPr>
                <w:rFonts w:ascii="Calibri" w:eastAsia="Calibri" w:hAnsi="Calibri" w:cs="Calibri"/>
                <w:color w:val="000000" w:themeColor="text1"/>
                <w:lang w:val="en-IE"/>
              </w:rPr>
              <w:t>be gradual, with clear pedagogical goals and alignment with traditional educational principles to ensure its effectiveness.</w:t>
            </w: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61F139B6" w:rsidR="7A8C362C" w:rsidRDefault="273BC527" w:rsidP="4D76C2C4">
            <w:r w:rsidRPr="2CCD9E84">
              <w:rPr>
                <w:rFonts w:eastAsiaTheme="minorEastAsia"/>
              </w:rPr>
              <w:t xml:space="preserve">Digital Transformation </w:t>
            </w:r>
            <w:sdt>
              <w:sdtPr>
                <w:id w:val="589580193"/>
                <w14:checkbox>
                  <w14:checked w14:val="1"/>
                  <w14:checkedState w14:val="2612" w14:font="MS Gothic"/>
                  <w14:uncheckedState w14:val="2610" w14:font="MS Gothic"/>
                </w14:checkbox>
              </w:sdtPr>
              <w:sdtContent>
                <w:r w:rsidR="003E072F">
                  <w:rPr>
                    <w:rFonts w:ascii="MS Gothic" w:eastAsia="MS Gothic" w:hAnsi="MS Gothic" w:hint="eastAsia"/>
                  </w:rPr>
                  <w:t>☒</w:t>
                </w:r>
              </w:sdtContent>
            </w:sdt>
          </w:p>
          <w:p w14:paraId="1AC78BA9" w14:textId="4E6765E4" w:rsidR="7A8C362C" w:rsidRDefault="7A8C362C" w:rsidP="2CCD9E84">
            <w:pPr>
              <w:rPr>
                <w:rFonts w:eastAsiaTheme="minorEastAsia"/>
              </w:rPr>
            </w:pPr>
          </w:p>
        </w:tc>
        <w:tc>
          <w:tcPr>
            <w:tcW w:w="1994" w:type="dxa"/>
          </w:tcPr>
          <w:p w14:paraId="78292EFA" w14:textId="3149D98E"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3E072F">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2CCD9E84">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174EAD11"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2B1E86DA" w:rsidR="6607A081" w:rsidRDefault="5F470FE6" w:rsidP="4D76C2C4">
            <w:r w:rsidRPr="2CCD9E84">
              <w:rPr>
                <w:rFonts w:eastAsiaTheme="minorEastAsia"/>
              </w:rPr>
              <w:t xml:space="preserve">      </w:t>
            </w:r>
            <w:sdt>
              <w:sdtPr>
                <w:id w:val="142303536"/>
                <w14:checkbox>
                  <w14:checked w14:val="1"/>
                  <w14:checkedState w14:val="2612" w14:font="MS Gothic"/>
                  <w14:uncheckedState w14:val="2610" w14:font="MS Gothic"/>
                </w14:checkbox>
              </w:sdtPr>
              <w:sdtContent>
                <w:r w:rsidR="003E072F">
                  <w:rPr>
                    <w:rFonts w:ascii="MS Gothic" w:eastAsia="MS Gothic" w:hAnsi="MS Gothic" w:hint="eastAsia"/>
                  </w:rPr>
                  <w:t>☒</w:t>
                </w:r>
              </w:sdtContent>
            </w:sdt>
          </w:p>
          <w:p w14:paraId="4408EBB4" w14:textId="18C814D0" w:rsidR="6607A081" w:rsidRDefault="6607A081" w:rsidP="2CCD9E84">
            <w:pPr>
              <w:rPr>
                <w:rFonts w:eastAsiaTheme="minorEastAsia"/>
              </w:rPr>
            </w:pPr>
          </w:p>
        </w:tc>
        <w:tc>
          <w:tcPr>
            <w:tcW w:w="1994" w:type="dxa"/>
          </w:tcPr>
          <w:p w14:paraId="0EB6D3B3" w14:textId="267CC691"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Content>
                <w:r w:rsidR="003E072F">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7777777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11350D1D" w:rsidR="004B67D1" w:rsidRDefault="00F77C41" w:rsidP="004B67D1">
            <w:r w:rsidRPr="00F77C41">
              <w:rPr>
                <w:rFonts w:eastAsiaTheme="minorEastAsia"/>
              </w:rPr>
              <w:t>Innovation in Teaching</w:t>
            </w:r>
            <w:sdt>
              <w:sdtPr>
                <w:id w:val="929542715"/>
                <w14:checkbox>
                  <w14:checked w14:val="1"/>
                  <w14:checkedState w14:val="2612" w14:font="MS Gothic"/>
                  <w14:uncheckedState w14:val="2610" w14:font="MS Gothic"/>
                </w14:checkbox>
              </w:sdtPr>
              <w:sdtContent>
                <w:r w:rsidR="003E072F">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1"/>
                <w14:checkedState w14:val="2612" w14:font="MS Gothic"/>
                <w14:uncheckedState w14:val="2610" w14:font="MS Gothic"/>
              </w14:checkbox>
            </w:sdtPr>
            <w:sdtContent>
              <w:p w14:paraId="1A9458DA" w14:textId="03A3821F" w:rsidR="4D76C2C4" w:rsidRDefault="003E072F" w:rsidP="4D76C2C4">
                <w:r>
                  <w:rPr>
                    <w:rFonts w:ascii="MS Gothic" w:eastAsia="MS Gothic" w:hAnsi="MS Gothic" w:hint="eastAsia"/>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2CCD9E84">
        <w:trPr>
          <w:trHeight w:val="300"/>
        </w:trPr>
        <w:tc>
          <w:tcPr>
            <w:tcW w:w="2263" w:type="dxa"/>
          </w:tcPr>
          <w:p w14:paraId="2A8CE11C" w14:textId="77777777" w:rsidR="004B67D1" w:rsidRDefault="64C96453" w:rsidP="004B67D1">
            <w:r w:rsidRPr="4D76C2C4">
              <w:rPr>
                <w:rFonts w:eastAsiaTheme="minorEastAsia"/>
              </w:rPr>
              <w:lastRenderedPageBreak/>
              <w:t>Create</w:t>
            </w:r>
            <w:r w:rsidR="004B67D1">
              <w:rPr>
                <w:rFonts w:eastAsiaTheme="minorEastAsia"/>
              </w:rPr>
              <w:t xml:space="preserve"> </w:t>
            </w:r>
            <w:sdt>
              <w:sdtPr>
                <w:id w:val="-32305532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5B773108"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1"/>
                  <w14:checkedState w14:val="2612" w14:font="MS Gothic"/>
                  <w14:uncheckedState w14:val="2610" w14:font="MS Gothic"/>
                </w14:checkbox>
              </w:sdtPr>
              <w:sdtContent>
                <w:r w:rsidR="003E072F">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1"/>
                <w14:checkedState w14:val="2612" w14:font="MS Gothic"/>
                <w14:uncheckedState w14:val="2610" w14:font="MS Gothic"/>
              </w14:checkbox>
            </w:sdtPr>
            <w:sdtContent>
              <w:p w14:paraId="37386CD6" w14:textId="6691663E" w:rsidR="4D76C2C4" w:rsidRDefault="003E072F" w:rsidP="4D76C2C4">
                <w:r>
                  <w:rPr>
                    <w:rFonts w:ascii="MS Gothic" w:eastAsia="MS Gothic" w:hAnsi="MS Gothic" w:hint="eastAsia"/>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3930C636"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1"/>
                  <w14:checkedState w14:val="2612" w14:font="MS Gothic"/>
                  <w14:uncheckedState w14:val="2610" w14:font="MS Gothic"/>
                </w14:checkbox>
              </w:sdtPr>
              <w:sdtContent>
                <w:r w:rsidR="003E072F">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0"/>
                <w14:checkedState w14:val="2612" w14:font="MS Gothic"/>
                <w14:uncheckedState w14:val="2610" w14:font="MS Gothic"/>
              </w14:checkbox>
            </w:sdtPr>
            <w:sdtContent>
              <w:p w14:paraId="660CF1DD" w14:textId="77777777" w:rsidR="4D76C2C4" w:rsidRDefault="5C5B25A3" w:rsidP="4D76C2C4">
                <w:r w:rsidRPr="2CCD9E84">
                  <w:rPr>
                    <w:rFonts w:ascii="MS Gothic" w:eastAsia="MS Gothic" w:hAnsi="MS Gothic"/>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1"/>
                <w14:checkedState w14:val="2612" w14:font="MS Gothic"/>
                <w14:uncheckedState w14:val="2610" w14:font="MS Gothic"/>
              </w14:checkbox>
            </w:sdtPr>
            <w:sdtContent>
              <w:p w14:paraId="3BA6E4A7" w14:textId="187A461E" w:rsidR="4D76C2C4" w:rsidRDefault="003E072F" w:rsidP="4D76C2C4">
                <w:r>
                  <w:rPr>
                    <w:rFonts w:ascii="MS Gothic" w:eastAsia="MS Gothic" w:hAnsi="MS Gothic" w:hint="eastAsia"/>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39BF6325" w:rsidR="4D76C2C4" w:rsidRDefault="003E072F" w:rsidP="4D76C2C4">
                <w:r>
                  <w:rPr>
                    <w:rFonts w:ascii="MS Gothic" w:eastAsia="MS Gothic" w:hAnsi="MS Gothic" w:hint="eastAsia"/>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0"/>
                <w14:checkedState w14:val="2612" w14:font="MS Gothic"/>
                <w14:uncheckedState w14:val="2610" w14:font="MS Gothic"/>
              </w14:checkbox>
            </w:sdtPr>
            <w:sdtContent>
              <w:p w14:paraId="53B823CF" w14:textId="77777777" w:rsidR="004B67D1" w:rsidRDefault="5C5B25A3" w:rsidP="4D76C2C4">
                <w:r w:rsidRPr="2CCD9E84">
                  <w:rPr>
                    <w:rFonts w:ascii="MS Gothic" w:eastAsia="MS Gothic" w:hAnsi="MS Gothic"/>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6665F6B5" w:rsidR="4D76C2C4" w:rsidRDefault="003E072F"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Haider Al-Juboori</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1A475BC5" w:rsidR="4D76C2C4" w:rsidRDefault="003E072F"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15 Nov</w:t>
            </w:r>
            <w:r w:rsidR="009E38DE">
              <w:rPr>
                <w:rFonts w:ascii="Calibri" w:eastAsia="Calibri" w:hAnsi="Calibri" w:cs="Calibri"/>
                <w:color w:val="000000" w:themeColor="text1"/>
                <w:lang w:val="en-IE"/>
              </w:rPr>
              <w:t>ember</w:t>
            </w:r>
            <w:r>
              <w:rPr>
                <w:rFonts w:ascii="Calibri" w:eastAsia="Calibri" w:hAnsi="Calibri" w:cs="Calibri"/>
                <w:color w:val="000000" w:themeColor="text1"/>
                <w:lang w:val="en-IE"/>
              </w:rPr>
              <w:t xml:space="preserve"> 2024</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2C20A606" w:rsidR="4D76C2C4" w:rsidRDefault="003E072F" w:rsidP="003E072F">
            <w:pPr>
              <w:spacing w:line="259" w:lineRule="auto"/>
              <w:rPr>
                <w:rFonts w:ascii="Calibri" w:eastAsia="Calibri" w:hAnsi="Calibri" w:cs="Calibri"/>
                <w:color w:val="000000" w:themeColor="text1"/>
                <w:lang w:val="en-IE"/>
              </w:rPr>
            </w:pPr>
            <w:hyperlink r:id="rId12" w:tooltip="mailto:haider.aljuboori@itcarlow.ie" w:history="1">
              <w:r w:rsidRPr="003E072F">
                <w:rPr>
                  <w:rStyle w:val="Hyperlink"/>
                  <w:rFonts w:ascii="Calibri" w:eastAsia="Calibri" w:hAnsi="Calibri" w:cs="Calibri"/>
                </w:rPr>
                <w:t>haider.aljuboori@setu.ie</w:t>
              </w:r>
            </w:hyperlink>
            <w:r w:rsidRPr="003E072F">
              <w:rPr>
                <w:rFonts w:ascii="Calibri" w:eastAsia="Calibri" w:hAnsi="Calibri" w:cs="Calibri"/>
                <w:color w:val="000000" w:themeColor="text1"/>
              </w:rPr>
              <w:t>  </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0A84DEB" w:rsidR="59E82668" w:rsidRDefault="003E072F" w:rsidP="003E072F">
            <w:pPr>
              <w:spacing w:line="259" w:lineRule="auto"/>
              <w:rPr>
                <w:rFonts w:ascii="Calibri" w:eastAsia="Calibri" w:hAnsi="Calibri" w:cs="Calibri"/>
                <w:color w:val="000000" w:themeColor="text1"/>
                <w:lang w:val="en-IE"/>
              </w:rPr>
            </w:pPr>
            <w:r w:rsidRPr="003E072F">
              <w:rPr>
                <w:rFonts w:ascii="Calibri" w:eastAsia="Calibri" w:hAnsi="Calibri" w:cs="Calibri"/>
                <w:color w:val="000000" w:themeColor="text1"/>
              </w:rPr>
              <w:t>DOI: </w:t>
            </w:r>
            <w:hyperlink r:id="rId13" w:tgtFrame="_blank" w:history="1">
              <w:r w:rsidRPr="003E072F">
                <w:rPr>
                  <w:rStyle w:val="Hyperlink"/>
                  <w:rFonts w:ascii="Calibri" w:eastAsia="Calibri" w:hAnsi="Calibri" w:cs="Calibri"/>
                </w:rPr>
                <w:t>10.1109/educon60312.2024.10578667</w:t>
              </w:r>
            </w:hyperlink>
          </w:p>
          <w:p w14:paraId="01834DCA" w14:textId="614A545D" w:rsidR="003E072F" w:rsidRDefault="003E072F" w:rsidP="00512197">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DOI:</w:t>
            </w:r>
            <w:r w:rsidR="00512197" w:rsidRPr="00512197">
              <w:rPr>
                <w:rFonts w:ascii="Calibri" w:eastAsia="Calibri" w:hAnsi="Calibri" w:cs="Calibri"/>
                <w:color w:val="000000" w:themeColor="text1"/>
              </w:rPr>
              <w:t> </w:t>
            </w:r>
            <w:hyperlink r:id="rId14" w:tgtFrame="_blank" w:history="1">
              <w:r w:rsidR="00512197" w:rsidRPr="00512197">
                <w:rPr>
                  <w:rStyle w:val="Hyperlink"/>
                  <w:rFonts w:ascii="Calibri" w:eastAsia="Calibri" w:hAnsi="Calibri" w:cs="Calibri"/>
                </w:rPr>
                <w:t>10.21427/ESFH-1214</w:t>
              </w:r>
            </w:hyperlink>
          </w:p>
          <w:p w14:paraId="0CDF91C8" w14:textId="1997DEA2" w:rsidR="006A77B1" w:rsidRDefault="006A77B1" w:rsidP="4D76C2C4">
            <w:pPr>
              <w:spacing w:line="259" w:lineRule="auto"/>
              <w:rPr>
                <w:rFonts w:ascii="Calibri" w:eastAsia="Calibri" w:hAnsi="Calibri" w:cs="Calibri"/>
                <w:color w:val="000000" w:themeColor="text1"/>
                <w:lang w:val="en-IE"/>
              </w:rPr>
            </w:pPr>
          </w:p>
        </w:tc>
      </w:tr>
    </w:tbl>
    <w:p w14:paraId="2C76D734" w14:textId="24CF8AC2" w:rsidR="3B6AE0E1" w:rsidRDefault="3B6AE0E1" w:rsidP="2CCD9E84">
      <w:pPr>
        <w:rPr>
          <w:rFonts w:eastAsiaTheme="minorEastAsia"/>
          <w:color w:val="000000" w:themeColor="text1"/>
        </w:rPr>
      </w:pPr>
    </w:p>
    <w:p w14:paraId="674478AC" w14:textId="4E49E8E5" w:rsidR="4D76C2C4" w:rsidRDefault="4D76C2C4" w:rsidP="4D76C2C4"/>
    <w:p w14:paraId="32EEAB56" w14:textId="4AA9269C" w:rsidR="79FA0A4A" w:rsidRPr="00214880" w:rsidRDefault="79FA0A4A">
      <w:pPr>
        <w:rPr>
          <w:b/>
          <w:bCs/>
        </w:rPr>
      </w:pPr>
      <w:r>
        <w:br/>
      </w:r>
      <w:r w:rsidR="00FB29EF" w:rsidRPr="00214880">
        <w:rPr>
          <w:b/>
          <w:bCs/>
        </w:rPr>
        <w:t>Photos/Graphs/Illustrations to support</w:t>
      </w:r>
      <w:r w:rsidR="00092395">
        <w:rPr>
          <w:b/>
          <w:bCs/>
        </w:rPr>
        <w:t xml:space="preserve"> [see next page]</w:t>
      </w:r>
    </w:p>
    <w:p w14:paraId="45948F15" w14:textId="46E470E0" w:rsidR="003A0372" w:rsidRDefault="00214880">
      <w:r>
        <w:rPr>
          <w:noProof/>
        </w:rPr>
        <w:lastRenderedPageBreak/>
        <w:drawing>
          <wp:inline distT="0" distB="0" distL="0" distR="0" wp14:anchorId="68A12A87" wp14:editId="2453F7FA">
            <wp:extent cx="5943600" cy="3343275"/>
            <wp:effectExtent l="0" t="0" r="0" b="9525"/>
            <wp:docPr id="1243371311" name="Picture 1" descr="A diagram of a child using a microc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71311" name="Picture 1" descr="A diagram of a child using a microchip"/>
                    <pic:cNvPicPr/>
                  </pic:nvPicPr>
                  <pic:blipFill>
                    <a:blip r:embed="rId1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noProof/>
        </w:rPr>
        <w:drawing>
          <wp:inline distT="0" distB="0" distL="0" distR="0" wp14:anchorId="0DB5B0E4" wp14:editId="37DC2476">
            <wp:extent cx="5943600" cy="3343275"/>
            <wp:effectExtent l="0" t="0" r="0" b="9525"/>
            <wp:docPr id="466830800" name="Picture 2" descr="A group of graphs showing different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30800" name="Picture 2" descr="A group of graphs showing different colors"/>
                    <pic:cNvPicPr/>
                  </pic:nvPicPr>
                  <pic:blipFill>
                    <a:blip r:embed="rId16">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noProof/>
        </w:rPr>
        <w:lastRenderedPageBreak/>
        <w:drawing>
          <wp:inline distT="0" distB="0" distL="0" distR="0" wp14:anchorId="441695E5" wp14:editId="75576922">
            <wp:extent cx="5943600" cy="3343275"/>
            <wp:effectExtent l="0" t="0" r="0" b="9525"/>
            <wp:docPr id="670586994" name="Picture 3" descr="A graph of a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86994" name="Picture 3" descr="A graph of a test"/>
                    <pic:cNvPicPr/>
                  </pic:nvPicPr>
                  <pic:blipFill>
                    <a:blip r:embed="rId1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noProof/>
        </w:rPr>
        <w:drawing>
          <wp:inline distT="0" distB="0" distL="0" distR="0" wp14:anchorId="44CB08EE" wp14:editId="24E9B0D5">
            <wp:extent cx="5943600" cy="3343275"/>
            <wp:effectExtent l="0" t="0" r="0" b="9525"/>
            <wp:docPr id="695793413" name="Picture 4" descr="A collage of several people wearing virtual reality gog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93413" name="Picture 4" descr="A collage of several people wearing virtual reality goggles"/>
                    <pic:cNvPicPr/>
                  </pic:nvPicPr>
                  <pic:blipFill>
                    <a:blip r:embed="rId1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688913F" w14:textId="49070660" w:rsidR="4D76C2C4" w:rsidRDefault="4D76C2C4" w:rsidP="4D76C2C4"/>
    <w:sectPr w:rsidR="4D76C2C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2683F" w14:textId="77777777" w:rsidR="00FD1609" w:rsidRDefault="00FD1609" w:rsidP="00801E77">
      <w:pPr>
        <w:spacing w:after="0" w:line="240" w:lineRule="auto"/>
      </w:pPr>
      <w:r>
        <w:separator/>
      </w:r>
    </w:p>
  </w:endnote>
  <w:endnote w:type="continuationSeparator" w:id="0">
    <w:p w14:paraId="4D34955E" w14:textId="77777777" w:rsidR="00FD1609" w:rsidRDefault="00FD1609"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54164904"/>
      <w:docPartObj>
        <w:docPartGallery w:val="Page Numbers (Bottom of Page)"/>
        <w:docPartUnique/>
      </w:docPartObj>
    </w:sdtPr>
    <w:sdtContent>
      <w:p w14:paraId="70CE81EC" w14:textId="70C87128" w:rsidR="00833194" w:rsidRDefault="00833194"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4E9235" w14:textId="77777777" w:rsidR="00833194" w:rsidRDefault="00833194" w:rsidP="008331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3716712"/>
      <w:docPartObj>
        <w:docPartGallery w:val="Page Numbers (Bottom of Page)"/>
        <w:docPartUnique/>
      </w:docPartObj>
    </w:sdtPr>
    <w:sdtContent>
      <w:p w14:paraId="33A51550" w14:textId="2A8B5ABC" w:rsidR="00833194" w:rsidRDefault="00833194"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4F48FB" w14:textId="4C7B66B8" w:rsidR="00801E77" w:rsidRDefault="00760A27" w:rsidP="00833194">
    <w:pPr>
      <w:pStyle w:val="Footer"/>
      <w:ind w:right="360"/>
    </w:pPr>
    <w:r>
      <w:rPr>
        <w:noProof/>
      </w:rPr>
      <w:drawing>
        <wp:anchor distT="0" distB="0" distL="114300" distR="114300" simplePos="0" relativeHeight="251658240" behindDoc="0" locked="0" layoutInCell="1" allowOverlap="1" wp14:anchorId="4D2040BC" wp14:editId="3BA89F46">
          <wp:simplePos x="0" y="0"/>
          <wp:positionH relativeFrom="column">
            <wp:posOffset>4037965</wp:posOffset>
          </wp:positionH>
          <wp:positionV relativeFrom="paragraph">
            <wp:posOffset>-171450</wp:posOffset>
          </wp:positionV>
          <wp:extent cx="1790700" cy="494665"/>
          <wp:effectExtent l="0" t="0" r="0" b="635"/>
          <wp:wrapNone/>
          <wp:docPr id="2" name="Picture 2"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15A91" w14:textId="77777777" w:rsidR="00833194" w:rsidRDefault="00833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3939A" w14:textId="77777777" w:rsidR="00FD1609" w:rsidRDefault="00FD1609" w:rsidP="00801E77">
      <w:pPr>
        <w:spacing w:after="0" w:line="240" w:lineRule="auto"/>
      </w:pPr>
      <w:r>
        <w:separator/>
      </w:r>
    </w:p>
  </w:footnote>
  <w:footnote w:type="continuationSeparator" w:id="0">
    <w:p w14:paraId="24D74B32" w14:textId="77777777" w:rsidR="00FD1609" w:rsidRDefault="00FD1609"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57CC5" w14:textId="77777777" w:rsidR="00833194" w:rsidRDefault="00833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4B500" w14:textId="64B170C1" w:rsidR="003977F6" w:rsidRDefault="003977F6" w:rsidP="003977F6">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19933094" w14:textId="77777777" w:rsidR="00760A27" w:rsidRDefault="00760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F268C" w14:textId="77777777" w:rsidR="00833194" w:rsidRDefault="0083319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363633"/>
    <w:multiLevelType w:val="multilevel"/>
    <w:tmpl w:val="EF80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num w:numId="1" w16cid:durableId="376247983">
    <w:abstractNumId w:val="1"/>
  </w:num>
  <w:num w:numId="2" w16cid:durableId="59127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ZS5yPjhpB/t8FzNr1p976IqV4Gejqb20jUrD3T32UNR/Jg7EyONmmkJpwmKlPcdg8MNJNbxRp2/vF4iTxfM1PQ==" w:salt="ltojPbyNcv51kO+It0tHcw=="/>
  <w:zoom w:percent="11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7AB4"/>
    <w:rsid w:val="00092395"/>
    <w:rsid w:val="000A63C9"/>
    <w:rsid w:val="000D4AB3"/>
    <w:rsid w:val="000D4E7D"/>
    <w:rsid w:val="00103B06"/>
    <w:rsid w:val="00117183"/>
    <w:rsid w:val="0012546D"/>
    <w:rsid w:val="0019761B"/>
    <w:rsid w:val="001B7958"/>
    <w:rsid w:val="0021251F"/>
    <w:rsid w:val="00214880"/>
    <w:rsid w:val="00217400"/>
    <w:rsid w:val="00242D7F"/>
    <w:rsid w:val="00291B4F"/>
    <w:rsid w:val="002A5C54"/>
    <w:rsid w:val="00313685"/>
    <w:rsid w:val="003977F6"/>
    <w:rsid w:val="003A0372"/>
    <w:rsid w:val="003C71C1"/>
    <w:rsid w:val="003E072F"/>
    <w:rsid w:val="003E7A48"/>
    <w:rsid w:val="00421161"/>
    <w:rsid w:val="004613F8"/>
    <w:rsid w:val="00475648"/>
    <w:rsid w:val="004B67D1"/>
    <w:rsid w:val="00503554"/>
    <w:rsid w:val="00512197"/>
    <w:rsid w:val="005163E2"/>
    <w:rsid w:val="0054371E"/>
    <w:rsid w:val="005540EE"/>
    <w:rsid w:val="0058208E"/>
    <w:rsid w:val="005F31FD"/>
    <w:rsid w:val="00615406"/>
    <w:rsid w:val="00630B93"/>
    <w:rsid w:val="00642159"/>
    <w:rsid w:val="00642488"/>
    <w:rsid w:val="00646D48"/>
    <w:rsid w:val="00691439"/>
    <w:rsid w:val="006A77B1"/>
    <w:rsid w:val="006C7E42"/>
    <w:rsid w:val="00721488"/>
    <w:rsid w:val="007250F6"/>
    <w:rsid w:val="00732307"/>
    <w:rsid w:val="00757986"/>
    <w:rsid w:val="00760A27"/>
    <w:rsid w:val="0079733A"/>
    <w:rsid w:val="007C547D"/>
    <w:rsid w:val="007C5B64"/>
    <w:rsid w:val="00801E77"/>
    <w:rsid w:val="00827C91"/>
    <w:rsid w:val="00833194"/>
    <w:rsid w:val="00893AAD"/>
    <w:rsid w:val="008B3462"/>
    <w:rsid w:val="008B612D"/>
    <w:rsid w:val="008D7D1D"/>
    <w:rsid w:val="008F3D29"/>
    <w:rsid w:val="00917993"/>
    <w:rsid w:val="009315E8"/>
    <w:rsid w:val="00934830"/>
    <w:rsid w:val="009477DA"/>
    <w:rsid w:val="00977F2C"/>
    <w:rsid w:val="009E38DE"/>
    <w:rsid w:val="00A15D85"/>
    <w:rsid w:val="00A33E0A"/>
    <w:rsid w:val="00A513D9"/>
    <w:rsid w:val="00AE3FEA"/>
    <w:rsid w:val="00B079CB"/>
    <w:rsid w:val="00B62B98"/>
    <w:rsid w:val="00B827DA"/>
    <w:rsid w:val="00C36B91"/>
    <w:rsid w:val="00C8529D"/>
    <w:rsid w:val="00C8705D"/>
    <w:rsid w:val="00CA5F6C"/>
    <w:rsid w:val="00CC5F52"/>
    <w:rsid w:val="00D67A21"/>
    <w:rsid w:val="00D77298"/>
    <w:rsid w:val="00D92544"/>
    <w:rsid w:val="00DC7317"/>
    <w:rsid w:val="00DF606D"/>
    <w:rsid w:val="00E36DA1"/>
    <w:rsid w:val="00E45373"/>
    <w:rsid w:val="00E46B90"/>
    <w:rsid w:val="00E86716"/>
    <w:rsid w:val="00EA5A46"/>
    <w:rsid w:val="00F319EA"/>
    <w:rsid w:val="00F77C41"/>
    <w:rsid w:val="00F8101A"/>
    <w:rsid w:val="00FA55A4"/>
    <w:rsid w:val="00FB29EF"/>
    <w:rsid w:val="00FB5CD9"/>
    <w:rsid w:val="00FC0B02"/>
    <w:rsid w:val="00FC64C1"/>
    <w:rsid w:val="00FD1609"/>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5B25A3"/>
    <w:rsid w:val="5D046058"/>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FollowedHyperlink">
    <w:name w:val="FollowedHyperlink"/>
    <w:basedOn w:val="DefaultParagraphFont"/>
    <w:uiPriority w:val="99"/>
    <w:semiHidden/>
    <w:unhideWhenUsed/>
    <w:rsid w:val="00512197"/>
    <w:rPr>
      <w:color w:val="954F72" w:themeColor="followedHyperlink"/>
      <w:u w:val="single"/>
    </w:rPr>
  </w:style>
  <w:style w:type="paragraph" w:styleId="Revision">
    <w:name w:val="Revision"/>
    <w:hidden/>
    <w:uiPriority w:val="99"/>
    <w:semiHidden/>
    <w:rsid w:val="00FA55A4"/>
    <w:pPr>
      <w:spacing w:after="0" w:line="240" w:lineRule="auto"/>
    </w:pPr>
  </w:style>
  <w:style w:type="character" w:styleId="PageNumber">
    <w:name w:val="page number"/>
    <w:basedOn w:val="DefaultParagraphFont"/>
    <w:uiPriority w:val="99"/>
    <w:semiHidden/>
    <w:unhideWhenUsed/>
    <w:rsid w:val="00833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26825">
      <w:bodyDiv w:val="1"/>
      <w:marLeft w:val="0"/>
      <w:marRight w:val="0"/>
      <w:marTop w:val="0"/>
      <w:marBottom w:val="0"/>
      <w:divBdr>
        <w:top w:val="none" w:sz="0" w:space="0" w:color="auto"/>
        <w:left w:val="none" w:sz="0" w:space="0" w:color="auto"/>
        <w:bottom w:val="none" w:sz="0" w:space="0" w:color="auto"/>
        <w:right w:val="none" w:sz="0" w:space="0" w:color="auto"/>
      </w:divBdr>
    </w:div>
    <w:div w:id="286545744">
      <w:bodyDiv w:val="1"/>
      <w:marLeft w:val="0"/>
      <w:marRight w:val="0"/>
      <w:marTop w:val="0"/>
      <w:marBottom w:val="0"/>
      <w:divBdr>
        <w:top w:val="none" w:sz="0" w:space="0" w:color="auto"/>
        <w:left w:val="none" w:sz="0" w:space="0" w:color="auto"/>
        <w:bottom w:val="none" w:sz="0" w:space="0" w:color="auto"/>
        <w:right w:val="none" w:sz="0" w:space="0" w:color="auto"/>
      </w:divBdr>
    </w:div>
    <w:div w:id="366299384">
      <w:bodyDiv w:val="1"/>
      <w:marLeft w:val="0"/>
      <w:marRight w:val="0"/>
      <w:marTop w:val="0"/>
      <w:marBottom w:val="0"/>
      <w:divBdr>
        <w:top w:val="none" w:sz="0" w:space="0" w:color="auto"/>
        <w:left w:val="none" w:sz="0" w:space="0" w:color="auto"/>
        <w:bottom w:val="none" w:sz="0" w:space="0" w:color="auto"/>
        <w:right w:val="none" w:sz="0" w:space="0" w:color="auto"/>
      </w:divBdr>
    </w:div>
    <w:div w:id="400759143">
      <w:bodyDiv w:val="1"/>
      <w:marLeft w:val="0"/>
      <w:marRight w:val="0"/>
      <w:marTop w:val="0"/>
      <w:marBottom w:val="0"/>
      <w:divBdr>
        <w:top w:val="none" w:sz="0" w:space="0" w:color="auto"/>
        <w:left w:val="none" w:sz="0" w:space="0" w:color="auto"/>
        <w:bottom w:val="none" w:sz="0" w:space="0" w:color="auto"/>
        <w:right w:val="none" w:sz="0" w:space="0" w:color="auto"/>
      </w:divBdr>
    </w:div>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049913563">
      <w:bodyDiv w:val="1"/>
      <w:marLeft w:val="0"/>
      <w:marRight w:val="0"/>
      <w:marTop w:val="0"/>
      <w:marBottom w:val="0"/>
      <w:divBdr>
        <w:top w:val="none" w:sz="0" w:space="0" w:color="auto"/>
        <w:left w:val="none" w:sz="0" w:space="0" w:color="auto"/>
        <w:bottom w:val="none" w:sz="0" w:space="0" w:color="auto"/>
        <w:right w:val="none" w:sz="0" w:space="0" w:color="auto"/>
      </w:divBdr>
    </w:div>
    <w:div w:id="1078088730">
      <w:bodyDiv w:val="1"/>
      <w:marLeft w:val="0"/>
      <w:marRight w:val="0"/>
      <w:marTop w:val="0"/>
      <w:marBottom w:val="0"/>
      <w:divBdr>
        <w:top w:val="none" w:sz="0" w:space="0" w:color="auto"/>
        <w:left w:val="none" w:sz="0" w:space="0" w:color="auto"/>
        <w:bottom w:val="none" w:sz="0" w:space="0" w:color="auto"/>
        <w:right w:val="none" w:sz="0" w:space="0" w:color="auto"/>
      </w:divBdr>
    </w:div>
    <w:div w:id="1328484967">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441298025">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 w:id="1724787365">
      <w:bodyDiv w:val="1"/>
      <w:marLeft w:val="0"/>
      <w:marRight w:val="0"/>
      <w:marTop w:val="0"/>
      <w:marBottom w:val="0"/>
      <w:divBdr>
        <w:top w:val="none" w:sz="0" w:space="0" w:color="auto"/>
        <w:left w:val="none" w:sz="0" w:space="0" w:color="auto"/>
        <w:bottom w:val="none" w:sz="0" w:space="0" w:color="auto"/>
        <w:right w:val="none" w:sz="0" w:space="0" w:color="auto"/>
      </w:divBdr>
    </w:div>
    <w:div w:id="1776753020">
      <w:bodyDiv w:val="1"/>
      <w:marLeft w:val="0"/>
      <w:marRight w:val="0"/>
      <w:marTop w:val="0"/>
      <w:marBottom w:val="0"/>
      <w:divBdr>
        <w:top w:val="none" w:sz="0" w:space="0" w:color="auto"/>
        <w:left w:val="none" w:sz="0" w:space="0" w:color="auto"/>
        <w:bottom w:val="none" w:sz="0" w:space="0" w:color="auto"/>
        <w:right w:val="none" w:sz="0" w:space="0" w:color="auto"/>
      </w:divBdr>
    </w:div>
    <w:div w:id="1911845912">
      <w:bodyDiv w:val="1"/>
      <w:marLeft w:val="0"/>
      <w:marRight w:val="0"/>
      <w:marTop w:val="0"/>
      <w:marBottom w:val="0"/>
      <w:divBdr>
        <w:top w:val="none" w:sz="0" w:space="0" w:color="auto"/>
        <w:left w:val="none" w:sz="0" w:space="0" w:color="auto"/>
        <w:bottom w:val="none" w:sz="0" w:space="0" w:color="auto"/>
        <w:right w:val="none" w:sz="0" w:space="0" w:color="auto"/>
      </w:divBdr>
    </w:div>
    <w:div w:id="21096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09/educon60312.2024.10578667" TargetMode="Externa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aider.aljuboori@itcarlow.ie" TargetMode="Externa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tu.ie/about/our-ambition/strategic-pla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1427/esfh-1214" TargetMode="External"/><Relationship Id="rId22" Type="http://schemas.openxmlformats.org/officeDocument/2006/relationships/footer" Target="footer2.xm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3.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4.xml><?xml version="1.0" encoding="utf-8"?>
<ds:datastoreItem xmlns:ds="http://schemas.openxmlformats.org/officeDocument/2006/customXml" ds:itemID="{A6E1481D-E7BD-467E-A70E-929BCCA66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1242</Words>
  <Characters>7084</Characters>
  <Application>Microsoft Office Word</Application>
  <DocSecurity>12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9</cp:revision>
  <dcterms:created xsi:type="dcterms:W3CDTF">2024-11-16T20:46:00Z</dcterms:created>
  <dcterms:modified xsi:type="dcterms:W3CDTF">2024-12-08T19:35:00Z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