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801E77" w:rsidRDefault="00801E77" w:rsidP="00801E77">
      <w:pPr>
        <w:pStyle w:val="ListParagraph"/>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31128A5A" w:rsidR="4D76C2C4" w:rsidRDefault="008F3012" w:rsidP="4D76C2C4">
            <w:pPr>
              <w:spacing w:before="80" w:after="80" w:line="259" w:lineRule="auto"/>
              <w:rPr>
                <w:rFonts w:eastAsiaTheme="minorEastAsia"/>
                <w:color w:val="000000" w:themeColor="text1"/>
                <w:lang w:val="en-IE"/>
              </w:rPr>
            </w:pPr>
            <w:r>
              <w:rPr>
                <w:rFonts w:eastAsiaTheme="minorEastAsia"/>
                <w:color w:val="000000" w:themeColor="text1"/>
                <w:lang w:val="en-IE"/>
              </w:rPr>
              <w:t>Maynooth University</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617C0406" w:rsidR="0019761B" w:rsidRPr="0079733A" w:rsidRDefault="008F3012"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Student Skills &amp; Success</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6BFDC6FF" w:rsidR="0079733A" w:rsidRPr="0079733A" w:rsidRDefault="008F3012"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Academic Year 2023/24 and ongoing.</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004CB56A" w:rsidR="0019761B" w:rsidRPr="0079733A" w:rsidRDefault="008F3012"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3,500+ first year undergraduate students each academic year.</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4A543FC7" w:rsidR="4D76C2C4" w:rsidRPr="0079733A" w:rsidRDefault="008F3012" w:rsidP="4D76C2C4">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‘My Maynooth on Moodle’ –  Maynooth University Online Orientation Programme</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46FC3F2A" w14:textId="2A85606F" w:rsidR="6943DD51" w:rsidRDefault="003753F8"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The ‘My Maynooth on Moodle’ programme aims to present important orientation information to students in an engaging manner across the entire first-year experience. It achieves this through;</w:t>
            </w:r>
          </w:p>
          <w:p w14:paraId="663061F2" w14:textId="77777777" w:rsidR="003753F8" w:rsidRDefault="003753F8" w:rsidP="003753F8">
            <w:pPr>
              <w:pStyle w:val="ListParagraph"/>
              <w:numPr>
                <w:ilvl w:val="0"/>
                <w:numId w:val="3"/>
              </w:numPr>
              <w:rPr>
                <w:rFonts w:eastAsiaTheme="minorEastAsia"/>
                <w:color w:val="3B3838" w:themeColor="background2" w:themeShade="40"/>
                <w:lang w:val="en-IE"/>
              </w:rPr>
            </w:pPr>
            <w:r w:rsidRPr="003753F8">
              <w:rPr>
                <w:rFonts w:eastAsiaTheme="minorEastAsia"/>
                <w:color w:val="3B3838" w:themeColor="background2" w:themeShade="40"/>
                <w:lang w:val="en-IE"/>
              </w:rPr>
              <w:t>Providing crucial information to students in advance of on-campus orientation</w:t>
            </w:r>
          </w:p>
          <w:p w14:paraId="79EF5B8F" w14:textId="53911891" w:rsidR="003753F8" w:rsidRDefault="003753F8" w:rsidP="003753F8">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 xml:space="preserve">Delivering </w:t>
            </w:r>
            <w:r w:rsidRPr="00AF7FB4">
              <w:t>asynchronous</w:t>
            </w:r>
            <w:r>
              <w:rPr>
                <w:rFonts w:eastAsiaTheme="minorEastAsia"/>
                <w:color w:val="3B3838" w:themeColor="background2" w:themeShade="40"/>
                <w:lang w:val="en-IE"/>
              </w:rPr>
              <w:t>, self-paced and modular content on Moodle, MU’s Virtual Learning Environment (VLE)</w:t>
            </w:r>
          </w:p>
          <w:p w14:paraId="3ABF8779" w14:textId="5222CE88" w:rsidR="003753F8" w:rsidRDefault="003753F8" w:rsidP="003753F8">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P</w:t>
            </w:r>
            <w:r w:rsidRPr="003753F8">
              <w:rPr>
                <w:rFonts w:eastAsiaTheme="minorEastAsia"/>
                <w:color w:val="3B3838" w:themeColor="background2" w:themeShade="40"/>
                <w:lang w:val="en-IE"/>
              </w:rPr>
              <w:t>roviding holistic content to students preparing them to develop themselves personally, professionally, and academically</w:t>
            </w:r>
          </w:p>
          <w:p w14:paraId="06B8F329" w14:textId="7FCC3F7C" w:rsidR="003753F8" w:rsidRDefault="003753F8" w:rsidP="003753F8">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Partnering with students to develop relatable and engaging content across a variety of mediums</w:t>
            </w:r>
          </w:p>
          <w:p w14:paraId="495F6C83" w14:textId="581BB316" w:rsidR="003753F8" w:rsidRPr="003753F8" w:rsidRDefault="003753F8" w:rsidP="003753F8">
            <w:pPr>
              <w:pStyle w:val="ListParagraph"/>
              <w:numPr>
                <w:ilvl w:val="0"/>
                <w:numId w:val="3"/>
              </w:numPr>
              <w:rPr>
                <w:rFonts w:eastAsiaTheme="minorEastAsia"/>
                <w:color w:val="3B3838" w:themeColor="background2" w:themeShade="40"/>
                <w:lang w:val="en-IE"/>
              </w:rPr>
            </w:pPr>
            <w:r>
              <w:rPr>
                <w:rFonts w:eastAsiaTheme="minorEastAsia"/>
                <w:color w:val="3B3838" w:themeColor="background2" w:themeShade="40"/>
                <w:lang w:val="en-IE"/>
              </w:rPr>
              <w:t>Releasing new content on a monthly basis to meet students where they are with relevant information</w:t>
            </w:r>
          </w:p>
          <w:p w14:paraId="5078B1CF" w14:textId="328B06D4" w:rsidR="003753F8" w:rsidRPr="0079733A" w:rsidRDefault="003753F8" w:rsidP="4D76C2C4">
            <w:pPr>
              <w:spacing w:line="259" w:lineRule="auto"/>
              <w:rPr>
                <w:rFonts w:eastAsiaTheme="minorEastAsia"/>
                <w:color w:val="3B3838" w:themeColor="background2" w:themeShade="40"/>
                <w:lang w:val="en-IE"/>
              </w:rPr>
            </w:pP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41B3EFC8" w14:textId="709882D3" w:rsidR="4D76C2C4" w:rsidRDefault="003753F8" w:rsidP="4D76C2C4">
            <w:pPr>
              <w:spacing w:line="259" w:lineRule="auto"/>
            </w:pPr>
            <w:r>
              <w:t>When Maynooth University transitioned back to an on-campus orientation programme following the pandemic, we appreciated the role an online orientation could play in supporting the more traditional on-campus orientation activities.</w:t>
            </w:r>
            <w:r w:rsidR="00F264EB">
              <w:t xml:space="preserve"> The identified needs for such a programme </w:t>
            </w:r>
            <w:proofErr w:type="gramStart"/>
            <w:r w:rsidR="00F264EB">
              <w:t>are;</w:t>
            </w:r>
            <w:proofErr w:type="gramEnd"/>
          </w:p>
          <w:p w14:paraId="37867AF5" w14:textId="14792C26" w:rsidR="003753F8" w:rsidRPr="003753F8" w:rsidRDefault="00F264EB" w:rsidP="003753F8">
            <w:pPr>
              <w:pStyle w:val="ListParagraph"/>
              <w:numPr>
                <w:ilvl w:val="0"/>
                <w:numId w:val="4"/>
              </w:numPr>
              <w:rPr>
                <w:rFonts w:eastAsiaTheme="minorEastAsia"/>
                <w:color w:val="3B3838" w:themeColor="background2" w:themeShade="40"/>
                <w:lang w:val="en-IE"/>
              </w:rPr>
            </w:pPr>
            <w:r>
              <w:t>To provide</w:t>
            </w:r>
            <w:r w:rsidR="003753F8">
              <w:t xml:space="preserve"> students with relevant information in advance of their on-campus welcome</w:t>
            </w:r>
            <w:r>
              <w:t>, easing anxiety and building belonging.</w:t>
            </w:r>
          </w:p>
          <w:p w14:paraId="3A76E028" w14:textId="002FEF63" w:rsidR="003753F8" w:rsidRPr="00F264EB" w:rsidRDefault="00F264EB" w:rsidP="003753F8">
            <w:pPr>
              <w:pStyle w:val="ListParagraph"/>
              <w:numPr>
                <w:ilvl w:val="0"/>
                <w:numId w:val="4"/>
              </w:numPr>
              <w:rPr>
                <w:rFonts w:eastAsiaTheme="minorEastAsia"/>
                <w:color w:val="3B3838" w:themeColor="background2" w:themeShade="40"/>
                <w:lang w:val="en-IE"/>
              </w:rPr>
            </w:pPr>
            <w:r>
              <w:t>To allow</w:t>
            </w:r>
            <w:r w:rsidR="003753F8">
              <w:t xml:space="preserve"> students to become familiar with the Virtual Learning Environment (Moodle) in advance of commencement of teaching &amp; learning</w:t>
            </w:r>
            <w:r>
              <w:t>.</w:t>
            </w:r>
          </w:p>
          <w:p w14:paraId="6BFFC3BA" w14:textId="2B21C224" w:rsidR="00F264EB" w:rsidRPr="00F264EB" w:rsidRDefault="00F264EB" w:rsidP="003753F8">
            <w:pPr>
              <w:pStyle w:val="ListParagraph"/>
              <w:numPr>
                <w:ilvl w:val="0"/>
                <w:numId w:val="4"/>
              </w:numPr>
              <w:rPr>
                <w:rFonts w:eastAsiaTheme="minorEastAsia"/>
                <w:color w:val="3B3838" w:themeColor="background2" w:themeShade="40"/>
                <w:lang w:val="en-IE"/>
              </w:rPr>
            </w:pPr>
            <w:r>
              <w:t>To assist students in developing their learning style while also signposting learning and support services.</w:t>
            </w:r>
          </w:p>
          <w:p w14:paraId="2A597043" w14:textId="6EFDD7C5" w:rsidR="00F264EB" w:rsidRPr="00F264EB" w:rsidRDefault="00F264EB" w:rsidP="003753F8">
            <w:pPr>
              <w:pStyle w:val="ListParagraph"/>
              <w:numPr>
                <w:ilvl w:val="0"/>
                <w:numId w:val="4"/>
              </w:numPr>
              <w:rPr>
                <w:rFonts w:eastAsiaTheme="minorEastAsia"/>
                <w:color w:val="3B3838" w:themeColor="background2" w:themeShade="40"/>
                <w:lang w:val="en-IE"/>
              </w:rPr>
            </w:pPr>
            <w:r>
              <w:t>To ease the ‘information overload’ that students face at orientation by splitting content across a year-long programme.</w:t>
            </w:r>
          </w:p>
          <w:p w14:paraId="13319B1E" w14:textId="501BA426" w:rsidR="00F264EB" w:rsidRPr="003753F8" w:rsidRDefault="00F264EB" w:rsidP="003753F8">
            <w:pPr>
              <w:pStyle w:val="ListParagraph"/>
              <w:numPr>
                <w:ilvl w:val="0"/>
                <w:numId w:val="4"/>
              </w:numPr>
              <w:rPr>
                <w:rFonts w:eastAsiaTheme="minorEastAsia"/>
                <w:color w:val="3B3838" w:themeColor="background2" w:themeShade="40"/>
                <w:lang w:val="en-IE"/>
              </w:rPr>
            </w:pPr>
            <w:r>
              <w:lastRenderedPageBreak/>
              <w:t xml:space="preserve">To provide </w:t>
            </w:r>
            <w:r w:rsidRPr="008D6248">
              <w:t>a source of empathy, validation, and reassurance</w:t>
            </w:r>
            <w:r>
              <w:t xml:space="preserve"> through sharing student peer experiences</w:t>
            </w:r>
            <w:r w:rsidR="12A7F5B7">
              <w:t>.</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026A7C81" w14:textId="486BD436" w:rsidR="003C71C1" w:rsidRDefault="008F3012" w:rsidP="008F3012">
            <w:pPr>
              <w:pStyle w:val="ListParagraph"/>
              <w:numPr>
                <w:ilvl w:val="0"/>
                <w:numId w:val="2"/>
              </w:numPr>
              <w:rPr>
                <w:rFonts w:eastAsiaTheme="minorEastAsia"/>
                <w:color w:val="000000" w:themeColor="text1"/>
                <w:lang w:val="en-IE"/>
              </w:rPr>
            </w:pPr>
            <w:r w:rsidRPr="008F3012">
              <w:rPr>
                <w:rFonts w:eastAsiaTheme="minorEastAsia"/>
                <w:color w:val="000000" w:themeColor="text1"/>
                <w:lang w:val="en-IE"/>
              </w:rPr>
              <w:t>Maynooth University Student Success Strategy (Maynooth University)</w:t>
            </w:r>
          </w:p>
          <w:p w14:paraId="40118512" w14:textId="22128931" w:rsidR="00152F7A" w:rsidRDefault="00152F7A" w:rsidP="008F3012">
            <w:pPr>
              <w:pStyle w:val="ListParagraph"/>
              <w:numPr>
                <w:ilvl w:val="0"/>
                <w:numId w:val="2"/>
              </w:numPr>
              <w:rPr>
                <w:rFonts w:eastAsiaTheme="minorEastAsia"/>
                <w:color w:val="000000" w:themeColor="text1"/>
                <w:lang w:val="en-IE"/>
              </w:rPr>
            </w:pPr>
            <w:r w:rsidRPr="00152F7A">
              <w:rPr>
                <w:rFonts w:eastAsiaTheme="minorEastAsia"/>
                <w:color w:val="000000" w:themeColor="text1"/>
                <w:lang w:val="en-IE"/>
              </w:rPr>
              <w:t>Maynooth University Strategic Plan 2023-2028</w:t>
            </w:r>
            <w:r>
              <w:rPr>
                <w:rFonts w:eastAsiaTheme="minorEastAsia"/>
                <w:color w:val="000000" w:themeColor="text1"/>
                <w:lang w:val="en-IE"/>
              </w:rPr>
              <w:t xml:space="preserve"> (Maynooth University)</w:t>
            </w:r>
          </w:p>
          <w:p w14:paraId="14793F68" w14:textId="5BE87DEA" w:rsidR="008F3012" w:rsidRPr="008F3012" w:rsidRDefault="008F3012" w:rsidP="008F3012">
            <w:pPr>
              <w:pStyle w:val="ListParagraph"/>
              <w:numPr>
                <w:ilvl w:val="0"/>
                <w:numId w:val="2"/>
              </w:numPr>
              <w:rPr>
                <w:rFonts w:eastAsiaTheme="minorEastAsia"/>
                <w:color w:val="000000" w:themeColor="text1"/>
                <w:lang w:val="en-IE"/>
              </w:rPr>
            </w:pPr>
            <w:r w:rsidRPr="008F3012">
              <w:rPr>
                <w:rFonts w:eastAsiaTheme="minorEastAsia"/>
                <w:color w:val="000000" w:themeColor="text1"/>
                <w:lang w:val="en-IE"/>
              </w:rPr>
              <w:t>A Strategic Action Plan for Equity of Access, Participation and Success in Higher Education 2022–2028</w:t>
            </w:r>
            <w:r>
              <w:rPr>
                <w:rFonts w:eastAsiaTheme="minorEastAsia"/>
                <w:color w:val="000000" w:themeColor="text1"/>
                <w:lang w:val="en-IE"/>
              </w:rPr>
              <w:t xml:space="preserve"> (HEA)</w:t>
            </w:r>
          </w:p>
          <w:p w14:paraId="41C82331" w14:textId="17606596" w:rsidR="008F3012" w:rsidRPr="008F3012" w:rsidRDefault="008F3012" w:rsidP="008F3012">
            <w:pPr>
              <w:pStyle w:val="ListParagraph"/>
              <w:numPr>
                <w:ilvl w:val="0"/>
                <w:numId w:val="2"/>
              </w:numPr>
              <w:rPr>
                <w:rFonts w:eastAsiaTheme="minorEastAsia"/>
                <w:color w:val="000000" w:themeColor="text1"/>
                <w:lang w:val="en-IE"/>
              </w:rPr>
            </w:pPr>
            <w:r w:rsidRPr="008F3012">
              <w:rPr>
                <w:rFonts w:eastAsiaTheme="minorEastAsia"/>
                <w:color w:val="000000" w:themeColor="text1"/>
                <w:lang w:val="en-IE"/>
              </w:rPr>
              <w:t>Next Steps for Teaching and Learning: Moving Forward Together (National Forum)</w:t>
            </w:r>
          </w:p>
          <w:p w14:paraId="153D7CBB" w14:textId="48DC9DD4" w:rsidR="00152F7A" w:rsidRDefault="00152F7A" w:rsidP="008F3012">
            <w:pPr>
              <w:pStyle w:val="ListParagraph"/>
              <w:numPr>
                <w:ilvl w:val="0"/>
                <w:numId w:val="2"/>
              </w:numPr>
              <w:rPr>
                <w:rFonts w:eastAsiaTheme="minorEastAsia"/>
                <w:color w:val="000000" w:themeColor="text1"/>
                <w:lang w:val="en-IE"/>
              </w:rPr>
            </w:pPr>
            <w:r w:rsidRPr="00152F7A">
              <w:rPr>
                <w:rFonts w:eastAsiaTheme="minorEastAsia"/>
                <w:color w:val="000000" w:themeColor="text1"/>
                <w:lang w:val="en-IE"/>
              </w:rPr>
              <w:t>Embedding Student Success: A Guiding Framework</w:t>
            </w:r>
            <w:r>
              <w:rPr>
                <w:rFonts w:eastAsiaTheme="minorEastAsia"/>
                <w:color w:val="000000" w:themeColor="text1"/>
                <w:lang w:val="en-IE"/>
              </w:rPr>
              <w:t xml:space="preserve"> (National Forum)</w:t>
            </w:r>
          </w:p>
          <w:p w14:paraId="76341F44" w14:textId="3C25E7E1" w:rsidR="008F3012" w:rsidRDefault="008F3012" w:rsidP="008F3012">
            <w:pPr>
              <w:pStyle w:val="ListParagraph"/>
              <w:numPr>
                <w:ilvl w:val="0"/>
                <w:numId w:val="2"/>
              </w:numPr>
              <w:rPr>
                <w:rFonts w:eastAsiaTheme="minorEastAsia"/>
                <w:color w:val="000000" w:themeColor="text1"/>
                <w:lang w:val="en-IE"/>
              </w:rPr>
            </w:pPr>
            <w:r w:rsidRPr="008F3012">
              <w:rPr>
                <w:rFonts w:eastAsiaTheme="minorEastAsia"/>
                <w:color w:val="000000" w:themeColor="text1"/>
                <w:lang w:val="en-IE"/>
              </w:rPr>
              <w:t>Guide to Developing Enabling Policies for Digital and Open Teaching and Learning (National Forum)</w:t>
            </w:r>
          </w:p>
          <w:p w14:paraId="2907C0AD" w14:textId="34269671" w:rsidR="008F3012" w:rsidRDefault="008F3012" w:rsidP="00152F7A">
            <w:pPr>
              <w:pStyle w:val="ListParagraph"/>
              <w:numPr>
                <w:ilvl w:val="0"/>
                <w:numId w:val="2"/>
              </w:numPr>
              <w:rPr>
                <w:rFonts w:eastAsiaTheme="minorEastAsia"/>
                <w:color w:val="000000" w:themeColor="text1"/>
                <w:lang w:val="en-IE"/>
              </w:rPr>
            </w:pPr>
            <w:r>
              <w:rPr>
                <w:rFonts w:eastAsiaTheme="minorEastAsia"/>
                <w:color w:val="000000" w:themeColor="text1"/>
                <w:lang w:val="en-IE"/>
              </w:rPr>
              <w:t>Steps to Partnership (National Student Engagement Programme)</w:t>
            </w:r>
          </w:p>
          <w:p w14:paraId="39448FCE" w14:textId="193847F4" w:rsidR="00152F7A" w:rsidRPr="00152F7A" w:rsidRDefault="00152F7A" w:rsidP="00152F7A">
            <w:pPr>
              <w:pStyle w:val="ListParagraph"/>
              <w:numPr>
                <w:ilvl w:val="0"/>
                <w:numId w:val="2"/>
              </w:numPr>
              <w:rPr>
                <w:rFonts w:eastAsiaTheme="minorEastAsia"/>
                <w:color w:val="000000" w:themeColor="text1"/>
                <w:lang w:val="en-IE"/>
              </w:rPr>
            </w:pPr>
            <w:r w:rsidRPr="00152F7A">
              <w:rPr>
                <w:rFonts w:eastAsiaTheme="minorEastAsia"/>
                <w:color w:val="000000" w:themeColor="text1"/>
                <w:lang w:val="en-IE"/>
              </w:rPr>
              <w:t>National Strategy for Higher Education to 2030</w:t>
            </w:r>
            <w:r>
              <w:rPr>
                <w:rFonts w:eastAsiaTheme="minorEastAsia"/>
                <w:color w:val="000000" w:themeColor="text1"/>
                <w:lang w:val="en-IE"/>
              </w:rPr>
              <w:t xml:space="preserve"> (Department of Education)</w:t>
            </w:r>
          </w:p>
          <w:p w14:paraId="3E255E81" w14:textId="3AA75288" w:rsidR="003C71C1" w:rsidRDefault="003C71C1" w:rsidP="4D76C2C4">
            <w:pPr>
              <w:spacing w:line="259" w:lineRule="auto"/>
              <w:rPr>
                <w:rFonts w:eastAsiaTheme="minorEastAsia"/>
                <w:color w:val="000000" w:themeColor="text1"/>
                <w:lang w:val="en-IE"/>
              </w:rPr>
            </w:pPr>
          </w:p>
          <w:p w14:paraId="4015F2D0" w14:textId="77777777" w:rsidR="003C71C1" w:rsidRDefault="003C71C1" w:rsidP="4D76C2C4">
            <w:pPr>
              <w:spacing w:line="259" w:lineRule="auto"/>
              <w:rPr>
                <w:rFonts w:eastAsiaTheme="minorEastAsia"/>
                <w:color w:val="000000" w:themeColor="text1"/>
                <w:lang w:val="en-IE"/>
              </w:rPr>
            </w:pPr>
          </w:p>
          <w:p w14:paraId="48C44B83" w14:textId="77777777" w:rsidR="00917993" w:rsidRDefault="00917993" w:rsidP="4D76C2C4">
            <w:pPr>
              <w:spacing w:line="259" w:lineRule="auto"/>
              <w:rPr>
                <w:rFonts w:eastAsiaTheme="minorEastAsia"/>
                <w:color w:val="000000" w:themeColor="text1"/>
                <w:lang w:val="en-IE"/>
              </w:rPr>
            </w:pP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1AA55987"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r w:rsidR="00F264EB">
              <w:rPr>
                <w:rFonts w:eastAsiaTheme="minorEastAsia"/>
                <w:b/>
                <w:bCs/>
              </w:rPr>
              <w:t>(Max 400 Words)</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056EE7A0" w14:textId="03A3216E" w:rsidR="004736E0" w:rsidRDefault="004736E0" w:rsidP="004736E0">
            <w:r>
              <w:t>‘My Maynooth on Moodle’ was developed to be asynchronous, self-paced, modular, and delivered through Maynooth’s Virtual Learning Environment (VLE) Moodle. This allows students the opportunity to explore content related to their transition to university in advance of arriving on campus while also starting to become familiar with their VLE environment before classwork takes place.</w:t>
            </w:r>
          </w:p>
          <w:p w14:paraId="6D105EAF" w14:textId="77777777" w:rsidR="004736E0" w:rsidRDefault="004736E0" w:rsidP="004736E0"/>
          <w:p w14:paraId="0AB89ED3" w14:textId="2446325C" w:rsidR="004736E0" w:rsidRDefault="004736E0" w:rsidP="004736E0">
            <w:r>
              <w:t>From the start</w:t>
            </w:r>
            <w:r w:rsidR="0646B324">
              <w:t>,</w:t>
            </w:r>
            <w:r>
              <w:t xml:space="preserve"> Maynooth University valued a holistic approach to online orientation content- it should have the goal of providing holistic content to students preparing them to develop themselves personally, professionally, and academically in line with our strategic vision for student success. There are 2 modules available to students when they first register with the university. Content </w:t>
            </w:r>
            <w:proofErr w:type="gramStart"/>
            <w:r>
              <w:t>includes;</w:t>
            </w:r>
            <w:proofErr w:type="gramEnd"/>
            <w:r>
              <w:t xml:space="preserve"> a welcome to the university campus and introduction of our values and expectations; information on student timetables, subject choices and what to expect in your first lecture, what the first 4 weeks on campus will look like; introducing assignments, labs and tutorials; and providing information on areas such as the library, learning supports and extra-curricular activity. This information is compl</w:t>
            </w:r>
            <w:r w:rsidR="104471F0">
              <w:t>e</w:t>
            </w:r>
            <w:r>
              <w:t>mented with interactive activities, reflections, and student experience videos.</w:t>
            </w:r>
          </w:p>
          <w:p w14:paraId="1394F80C" w14:textId="77777777" w:rsidR="004736E0" w:rsidRDefault="004736E0" w:rsidP="004736E0"/>
          <w:p w14:paraId="67B1B2E2" w14:textId="19950D29" w:rsidR="004736E0" w:rsidRDefault="004736E0" w:rsidP="004736E0">
            <w:r>
              <w:t xml:space="preserve">Each month a new module is released with the aim of meeting students where they are on their orientation journey. For example, our colleagues in Student Services have seen increases in students presenting with issues such as </w:t>
            </w:r>
            <w:proofErr w:type="gramStart"/>
            <w:r>
              <w:t>loneliness  after</w:t>
            </w:r>
            <w:proofErr w:type="gramEnd"/>
            <w:r>
              <w:t xml:space="preserve"> the first few weeks have passed- we address this online during the November release in a section entitled ‘Challenges and how to overcome them’ where university colleagues collaborated on content around loneliness, overwhelm, and developing study/life balance. This </w:t>
            </w:r>
            <w:r>
              <w:lastRenderedPageBreak/>
              <w:t>approach is taken across the programme with content early on encouraging students to develop their learning style and habits while signposting them to university services and supports that can assist with this.</w:t>
            </w:r>
          </w:p>
          <w:p w14:paraId="4FC400BD" w14:textId="77777777" w:rsidR="004736E0" w:rsidRDefault="004736E0" w:rsidP="004736E0"/>
          <w:p w14:paraId="272864B7" w14:textId="7F498D3A" w:rsidR="004736E0" w:rsidRDefault="004736E0" w:rsidP="004736E0">
            <w:r>
              <w:t xml:space="preserve">A cornerstone of the programme are the student videos which feature throughout. These videos are candid and relatable expressions of what student life and experience is like here in Maynooth, </w:t>
            </w:r>
            <w:r w:rsidR="14265BCF">
              <w:t>shared</w:t>
            </w:r>
            <w:r>
              <w:t xml:space="preserve"> by a diverse cohort of speakers. They speak about what first year was like for them- what they learned, what worked and didn’t work, what w</w:t>
            </w:r>
            <w:r w:rsidR="3D5F845D">
              <w:t>ere</w:t>
            </w:r>
            <w:r>
              <w:t xml:space="preserve"> the highs and the lows. These videos aim to be a source of empathy, validation, and reassurance for new students demonstrating that others have experienced similar challenges to them.</w:t>
            </w:r>
          </w:p>
          <w:p w14:paraId="213A8868" w14:textId="77777777" w:rsidR="004736E0" w:rsidRDefault="004736E0" w:rsidP="004736E0"/>
          <w:p w14:paraId="71A62810" w14:textId="048BAEAC" w:rsidR="004736E0" w:rsidRDefault="004736E0" w:rsidP="004736E0">
            <w:r>
              <w:t>Overall, the programme grows with the students throughout their first year in Maynooth and prepares them for their transition to second year of study.</w:t>
            </w:r>
          </w:p>
          <w:p w14:paraId="66DDB73C" w14:textId="17726C91" w:rsidR="4D76C2C4" w:rsidRPr="004736E0" w:rsidRDefault="4D76C2C4" w:rsidP="4D76C2C4">
            <w:pPr>
              <w:spacing w:line="259" w:lineRule="auto"/>
              <w:rPr>
                <w:rFonts w:eastAsiaTheme="minorEastAsia"/>
                <w:color w:val="3B3838" w:themeColor="background2" w:themeShade="40"/>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216F10CB" w14:textId="77302F86" w:rsidR="006A77B1" w:rsidRPr="0079733A" w:rsidRDefault="004736E0" w:rsidP="4D76C2C4">
            <w:pPr>
              <w:spacing w:line="259" w:lineRule="auto"/>
              <w:rPr>
                <w:rFonts w:eastAsiaTheme="minorEastAsia"/>
                <w:color w:val="3B3838" w:themeColor="background2" w:themeShade="40"/>
                <w:lang w:val="en-IE"/>
              </w:rPr>
            </w:pPr>
            <w:r>
              <w:rPr>
                <w:lang w:val="en-IE"/>
              </w:rPr>
              <w:t>Initial technical set-up</w:t>
            </w:r>
            <w:r w:rsidRPr="00011092">
              <w:rPr>
                <w:lang w:val="en-IE"/>
              </w:rPr>
              <w:t xml:space="preserve"> involved collaboration with services across the university including</w:t>
            </w:r>
            <w:r>
              <w:rPr>
                <w:lang w:val="en-IE"/>
              </w:rPr>
              <w:t>;</w:t>
            </w:r>
            <w:r w:rsidRPr="00011092">
              <w:rPr>
                <w:lang w:val="en-IE"/>
              </w:rPr>
              <w:t xml:space="preserve"> IT Services, Registry</w:t>
            </w:r>
            <w:r w:rsidR="0E83A136" w:rsidRPr="3DEDA437">
              <w:rPr>
                <w:lang w:val="en-IE"/>
              </w:rPr>
              <w:t>, Timetabling</w:t>
            </w:r>
            <w:r w:rsidRPr="00011092">
              <w:rPr>
                <w:lang w:val="en-IE"/>
              </w:rPr>
              <w:t xml:space="preserve"> </w:t>
            </w:r>
            <w:r>
              <w:rPr>
                <w:lang w:val="en-IE"/>
              </w:rPr>
              <w:t>and</w:t>
            </w:r>
            <w:r w:rsidRPr="00011092">
              <w:rPr>
                <w:lang w:val="en-IE"/>
              </w:rPr>
              <w:t xml:space="preserve"> </w:t>
            </w:r>
            <w:r w:rsidR="3FBD3A39" w:rsidRPr="3DEDA437">
              <w:rPr>
                <w:lang w:val="en-IE"/>
              </w:rPr>
              <w:t xml:space="preserve">the </w:t>
            </w:r>
            <w:r w:rsidRPr="00011092">
              <w:rPr>
                <w:lang w:val="en-IE"/>
              </w:rPr>
              <w:t>Centre for Teaching &amp; Learning. Content was then developed in consultation with colleagues across all areas of the university community</w:t>
            </w:r>
            <w:r>
              <w:rPr>
                <w:lang w:val="en-IE"/>
              </w:rPr>
              <w:t xml:space="preserve"> including; Student Services, Library, EDI, Access, Fees &amp; Grants, Programme Advisory, </w:t>
            </w:r>
            <w:proofErr w:type="spellStart"/>
            <w:r>
              <w:rPr>
                <w:lang w:val="en-IE"/>
              </w:rPr>
              <w:t>Oifig</w:t>
            </w:r>
            <w:proofErr w:type="spellEnd"/>
            <w:r>
              <w:rPr>
                <w:lang w:val="en-IE"/>
              </w:rPr>
              <w:t xml:space="preserve"> na </w:t>
            </w:r>
            <w:proofErr w:type="spellStart"/>
            <w:r>
              <w:rPr>
                <w:lang w:val="en-IE"/>
              </w:rPr>
              <w:t>Gaeilge</w:t>
            </w:r>
            <w:proofErr w:type="spellEnd"/>
            <w:r>
              <w:rPr>
                <w:lang w:val="en-IE"/>
              </w:rPr>
              <w:t xml:space="preserve">, Maynooth Students’ Union, and academic colleagues. Students were key stakeholders throughout </w:t>
            </w:r>
            <w:r w:rsidR="05AA440C" w:rsidRPr="3DEDA437">
              <w:rPr>
                <w:lang w:val="en-IE"/>
              </w:rPr>
              <w:t xml:space="preserve">its development </w:t>
            </w:r>
            <w:r w:rsidRPr="3DEDA437">
              <w:rPr>
                <w:lang w:val="en-IE"/>
              </w:rPr>
              <w:t xml:space="preserve">and </w:t>
            </w:r>
            <w:r w:rsidR="3AF75C28" w:rsidRPr="3DEDA437">
              <w:rPr>
                <w:lang w:val="en-IE"/>
              </w:rPr>
              <w:t>were</w:t>
            </w:r>
            <w:r>
              <w:rPr>
                <w:lang w:val="en-IE"/>
              </w:rPr>
              <w:t xml:space="preserve"> involved across the programme in roles as advisors, developers and creators.</w:t>
            </w: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7D1A22DB" w14:textId="77777777" w:rsidR="004736E0" w:rsidRDefault="004736E0" w:rsidP="4D76C2C4">
            <w:pPr>
              <w:spacing w:line="259" w:lineRule="auto"/>
              <w:rPr>
                <w:lang w:val="en-IE"/>
              </w:rPr>
            </w:pPr>
            <w:r>
              <w:rPr>
                <w:lang w:val="en-IE"/>
              </w:rPr>
              <w:t xml:space="preserve">The work of the programme was managed by the Student Success Officer and guided by an ‘Online Orientation Taskforce’ which comprised of students and staff which in turn reported to the wider university Orientation Leadership Group. </w:t>
            </w:r>
          </w:p>
          <w:p w14:paraId="0678BAD2" w14:textId="736146D2" w:rsidR="004A6BBF" w:rsidRPr="004A6BBF" w:rsidRDefault="004A6BBF" w:rsidP="004A6BBF">
            <w:pPr>
              <w:pStyle w:val="ListParagraph"/>
              <w:numPr>
                <w:ilvl w:val="0"/>
                <w:numId w:val="5"/>
              </w:numPr>
              <w:rPr>
                <w:rFonts w:eastAsiaTheme="minorEastAsia"/>
                <w:color w:val="3B3838" w:themeColor="background2" w:themeShade="40"/>
                <w:lang w:val="en-IE"/>
              </w:rPr>
            </w:pPr>
            <w:r>
              <w:rPr>
                <w:lang w:val="en-IE"/>
              </w:rPr>
              <w:t>Content is developed and approved by a group of nominated stakeholders from departments across the university.</w:t>
            </w:r>
          </w:p>
          <w:p w14:paraId="448AFF31" w14:textId="6DDAD037" w:rsidR="004736E0" w:rsidRPr="004A6BBF" w:rsidRDefault="004736E0" w:rsidP="004736E0">
            <w:pPr>
              <w:pStyle w:val="ListParagraph"/>
              <w:numPr>
                <w:ilvl w:val="0"/>
                <w:numId w:val="5"/>
              </w:numPr>
              <w:rPr>
                <w:rFonts w:eastAsiaTheme="minorEastAsia"/>
                <w:color w:val="3B3838" w:themeColor="background2" w:themeShade="40"/>
                <w:lang w:val="en-IE"/>
              </w:rPr>
            </w:pPr>
            <w:r w:rsidRPr="004736E0">
              <w:rPr>
                <w:lang w:val="en-IE"/>
              </w:rPr>
              <w:t>The initial pilot programme was developed across the summer of 2023 and launched to our incoming first-years in September 2023</w:t>
            </w:r>
            <w:r w:rsidR="5C052C57" w:rsidRPr="3DEDA437">
              <w:rPr>
                <w:lang w:val="en-IE"/>
              </w:rPr>
              <w:t>.</w:t>
            </w:r>
          </w:p>
          <w:p w14:paraId="2CD5B279" w14:textId="3D66E79E" w:rsidR="004736E0" w:rsidRPr="004736E0" w:rsidRDefault="004736E0" w:rsidP="004736E0">
            <w:pPr>
              <w:pStyle w:val="ListParagraph"/>
              <w:numPr>
                <w:ilvl w:val="0"/>
                <w:numId w:val="5"/>
              </w:numPr>
              <w:rPr>
                <w:rFonts w:eastAsiaTheme="minorEastAsia"/>
                <w:color w:val="3B3838" w:themeColor="background2" w:themeShade="40"/>
                <w:lang w:val="en-IE"/>
              </w:rPr>
            </w:pPr>
            <w:r>
              <w:rPr>
                <w:lang w:val="en-IE"/>
              </w:rPr>
              <w:t>User evaluation data presented to the working groups in Semester 1 2023/24.</w:t>
            </w:r>
          </w:p>
          <w:p w14:paraId="4D8F5D9F" w14:textId="04B0951A" w:rsidR="004736E0" w:rsidRPr="004736E0" w:rsidRDefault="004736E0" w:rsidP="004736E0">
            <w:pPr>
              <w:pStyle w:val="ListParagraph"/>
              <w:numPr>
                <w:ilvl w:val="0"/>
                <w:numId w:val="5"/>
              </w:numPr>
              <w:rPr>
                <w:rFonts w:eastAsiaTheme="minorEastAsia"/>
                <w:color w:val="3B3838" w:themeColor="background2" w:themeShade="40"/>
                <w:lang w:val="en-IE"/>
              </w:rPr>
            </w:pPr>
            <w:r>
              <w:rPr>
                <w:lang w:val="en-IE"/>
              </w:rPr>
              <w:t>Students undertake a content evaluation process in Semester 2 2023/24 and report back to the Student Success Officer.</w:t>
            </w:r>
          </w:p>
          <w:p w14:paraId="1D061493" w14:textId="65394396" w:rsidR="004736E0" w:rsidRPr="004736E0" w:rsidRDefault="004736E0" w:rsidP="004736E0">
            <w:pPr>
              <w:pStyle w:val="ListParagraph"/>
              <w:numPr>
                <w:ilvl w:val="0"/>
                <w:numId w:val="5"/>
              </w:numPr>
              <w:rPr>
                <w:rFonts w:eastAsiaTheme="minorEastAsia"/>
                <w:color w:val="3B3838" w:themeColor="background2" w:themeShade="40"/>
                <w:lang w:val="en-IE"/>
              </w:rPr>
            </w:pPr>
            <w:r>
              <w:rPr>
                <w:lang w:val="en-IE"/>
              </w:rPr>
              <w:t xml:space="preserve">A revised content plan and monthly release structure </w:t>
            </w:r>
            <w:r w:rsidR="00616E39">
              <w:rPr>
                <w:lang w:val="en-IE"/>
              </w:rPr>
              <w:t>was</w:t>
            </w:r>
            <w:r>
              <w:rPr>
                <w:lang w:val="en-IE"/>
              </w:rPr>
              <w:t xml:space="preserve"> developed in Semester 2 2023/24.</w:t>
            </w:r>
          </w:p>
          <w:p w14:paraId="777F748D" w14:textId="0A8933E1" w:rsidR="006A77B1" w:rsidRPr="004A6BBF" w:rsidRDefault="004736E0" w:rsidP="4D76C2C4">
            <w:pPr>
              <w:pStyle w:val="ListParagraph"/>
              <w:numPr>
                <w:ilvl w:val="0"/>
                <w:numId w:val="5"/>
              </w:numPr>
              <w:rPr>
                <w:rFonts w:eastAsiaTheme="minorEastAsia"/>
                <w:color w:val="3B3838" w:themeColor="background2" w:themeShade="40"/>
                <w:lang w:val="en-IE"/>
              </w:rPr>
            </w:pPr>
            <w:r>
              <w:rPr>
                <w:lang w:val="en-IE"/>
              </w:rPr>
              <w:t>The Student Success Officer and 2 Student Interns work on developing the revised programme which is launched in September 2024 and is ongoing.</w:t>
            </w: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578AB06D" w14:textId="1756AF24" w:rsidR="004A6BBF" w:rsidRDefault="004A6BBF" w:rsidP="004A6BBF">
            <w:pPr>
              <w:spacing w:line="259" w:lineRule="auto"/>
              <w:rPr>
                <w:lang w:val="en-IE"/>
              </w:rPr>
            </w:pPr>
            <w:r>
              <w:rPr>
                <w:lang w:val="en-IE"/>
              </w:rPr>
              <w:t>The programme was funded as a core component of our SATLE 2022 submission. This provided funding for the recruitment of a Student Success Officer</w:t>
            </w:r>
            <w:r w:rsidR="7E935E22" w:rsidRPr="3DEDA437">
              <w:rPr>
                <w:lang w:val="en-IE"/>
              </w:rPr>
              <w:t>, renumeration for student micro interns</w:t>
            </w:r>
            <w:r>
              <w:rPr>
                <w:lang w:val="en-IE"/>
              </w:rPr>
              <w:t xml:space="preserve"> and for the video production </w:t>
            </w:r>
            <w:r>
              <w:rPr>
                <w:lang w:val="en-IE"/>
              </w:rPr>
              <w:lastRenderedPageBreak/>
              <w:t xml:space="preserve">required for the student videos. A project such as this is reliant </w:t>
            </w:r>
            <w:r w:rsidRPr="3DEDA437">
              <w:rPr>
                <w:lang w:val="en-IE"/>
              </w:rPr>
              <w:t>o</w:t>
            </w:r>
            <w:r w:rsidR="7D79446C" w:rsidRPr="3DEDA437">
              <w:rPr>
                <w:lang w:val="en-IE"/>
              </w:rPr>
              <w:t>n</w:t>
            </w:r>
            <w:r>
              <w:rPr>
                <w:lang w:val="en-IE"/>
              </w:rPr>
              <w:t xml:space="preserve"> the successful engagement of stakeholders across the university giving their time to develop content.</w:t>
            </w:r>
          </w:p>
          <w:p w14:paraId="5B75F6D2" w14:textId="77777777" w:rsidR="004A6BBF" w:rsidRPr="0079733A" w:rsidRDefault="004A6BBF" w:rsidP="4D76C2C4">
            <w:pPr>
              <w:spacing w:line="259" w:lineRule="auto"/>
              <w:rPr>
                <w:rFonts w:eastAsiaTheme="minorEastAsia"/>
                <w:color w:val="3B3838" w:themeColor="background2" w:themeShade="40"/>
                <w:lang w:val="en-IE"/>
              </w:rPr>
            </w:pPr>
          </w:p>
          <w:p w14:paraId="13793060" w14:textId="77777777" w:rsidR="006A77B1" w:rsidRPr="0079733A" w:rsidRDefault="006A77B1" w:rsidP="4D76C2C4">
            <w:pPr>
              <w:spacing w:line="259" w:lineRule="auto"/>
              <w:rPr>
                <w:rFonts w:eastAsiaTheme="minorEastAsia"/>
                <w:color w:val="3B3838" w:themeColor="background2" w:themeShade="40"/>
                <w:lang w:val="en-IE"/>
              </w:rPr>
            </w:pPr>
          </w:p>
          <w:p w14:paraId="0DDFC472" w14:textId="77777777" w:rsidR="006A77B1" w:rsidRPr="0079733A" w:rsidRDefault="006A77B1" w:rsidP="4D76C2C4">
            <w:pPr>
              <w:spacing w:line="259" w:lineRule="auto"/>
              <w:rPr>
                <w:rFonts w:eastAsiaTheme="minorEastAsia"/>
                <w:color w:val="3B3838" w:themeColor="background2" w:themeShade="40"/>
                <w:lang w:val="en-IE"/>
              </w:rPr>
            </w:pP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lastRenderedPageBreak/>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6ACFE04B" w14:textId="7389A316" w:rsidR="004A6BBF" w:rsidRDefault="004A6BBF" w:rsidP="004A6BBF">
            <w:pPr>
              <w:spacing w:line="256" w:lineRule="auto"/>
            </w:pPr>
            <w:r>
              <w:t>The programme has a built-in evaluation mechanism which student</w:t>
            </w:r>
            <w:r w:rsidR="5F8319C4">
              <w:t>s</w:t>
            </w:r>
            <w:r>
              <w:t xml:space="preserve"> undertake at the end of the second module. </w:t>
            </w:r>
            <w:r w:rsidR="7A046775">
              <w:t>Five</w:t>
            </w:r>
            <w:r>
              <w:t xml:space="preserve"> key metrics were agreed upon and the most recent results (October 2024) are as </w:t>
            </w:r>
            <w:proofErr w:type="gramStart"/>
            <w:r>
              <w:t>follows;</w:t>
            </w:r>
            <w:proofErr w:type="gramEnd"/>
          </w:p>
          <w:p w14:paraId="6B32BB08" w14:textId="77777777" w:rsidR="004A6BBF" w:rsidRDefault="004A6BBF" w:rsidP="004A6BBF">
            <w:pPr>
              <w:pStyle w:val="ListParagraph"/>
              <w:numPr>
                <w:ilvl w:val="0"/>
                <w:numId w:val="7"/>
              </w:numPr>
              <w:spacing w:line="256" w:lineRule="auto"/>
            </w:pPr>
            <w:r>
              <w:t xml:space="preserve">The topics covered within the online orientation should be relevant to new students. </w:t>
            </w:r>
            <w:r w:rsidRPr="004A6BBF">
              <w:rPr>
                <w:b/>
                <w:bCs/>
              </w:rPr>
              <w:t>98%</w:t>
            </w:r>
            <w:r>
              <w:t xml:space="preserve"> of students Strongly Agreed or Agreed.</w:t>
            </w:r>
          </w:p>
          <w:p w14:paraId="66362FC5" w14:textId="77777777" w:rsidR="004A6BBF" w:rsidRDefault="004A6BBF" w:rsidP="004A6BBF">
            <w:pPr>
              <w:pStyle w:val="ListParagraph"/>
              <w:numPr>
                <w:ilvl w:val="0"/>
                <w:numId w:val="7"/>
              </w:numPr>
              <w:spacing w:line="256" w:lineRule="auto"/>
            </w:pPr>
            <w:r>
              <w:t xml:space="preserve">The programme should be presented in a manner that makes it likely that students will reengage with it. </w:t>
            </w:r>
            <w:r w:rsidRPr="004A6BBF">
              <w:rPr>
                <w:b/>
                <w:bCs/>
              </w:rPr>
              <w:t>78%</w:t>
            </w:r>
            <w:r>
              <w:t xml:space="preserve"> of students Strongly Agreed or Agreed.</w:t>
            </w:r>
          </w:p>
          <w:p w14:paraId="5CD2FAEE" w14:textId="77777777" w:rsidR="004A6BBF" w:rsidRDefault="004A6BBF" w:rsidP="004A6BBF">
            <w:pPr>
              <w:pStyle w:val="ListParagraph"/>
              <w:numPr>
                <w:ilvl w:val="0"/>
                <w:numId w:val="7"/>
              </w:numPr>
              <w:spacing w:line="256" w:lineRule="auto"/>
            </w:pPr>
            <w:r>
              <w:t xml:space="preserve">After taking the course, students should be more aware of the University supports and services available to help them be successful. </w:t>
            </w:r>
            <w:r w:rsidRPr="004A6BBF">
              <w:rPr>
                <w:b/>
                <w:bCs/>
              </w:rPr>
              <w:t>97%</w:t>
            </w:r>
            <w:r>
              <w:t xml:space="preserve"> of students Strongly Agreed or Agreed.</w:t>
            </w:r>
          </w:p>
          <w:p w14:paraId="09148D7C" w14:textId="5505CECE" w:rsidR="004A6BBF" w:rsidRDefault="004A6BBF" w:rsidP="004A6BBF">
            <w:pPr>
              <w:pStyle w:val="ListParagraph"/>
              <w:numPr>
                <w:ilvl w:val="0"/>
                <w:numId w:val="7"/>
              </w:numPr>
              <w:spacing w:line="256" w:lineRule="auto"/>
            </w:pPr>
            <w:r>
              <w:t xml:space="preserve">The course should be judged as providing important information about the student’s transition to </w:t>
            </w:r>
            <w:proofErr w:type="gramStart"/>
            <w:r>
              <w:t>University</w:t>
            </w:r>
            <w:proofErr w:type="gramEnd"/>
            <w:r>
              <w:t xml:space="preserve">. </w:t>
            </w:r>
            <w:r w:rsidRPr="004A6BBF">
              <w:rPr>
                <w:b/>
                <w:bCs/>
              </w:rPr>
              <w:t>98%</w:t>
            </w:r>
            <w:r>
              <w:t xml:space="preserve"> of students Strongly Agreed or Agreed.</w:t>
            </w:r>
          </w:p>
          <w:p w14:paraId="477EE447" w14:textId="6FF79B7A" w:rsidR="004A6BBF" w:rsidRPr="00C44191" w:rsidRDefault="004A6BBF" w:rsidP="004A6BBF">
            <w:pPr>
              <w:pStyle w:val="ListParagraph"/>
              <w:numPr>
                <w:ilvl w:val="0"/>
                <w:numId w:val="7"/>
              </w:numPr>
              <w:spacing w:line="256" w:lineRule="auto"/>
            </w:pPr>
            <w:r>
              <w:t xml:space="preserve">After taking the course, students should feel better prepared for starting University. </w:t>
            </w:r>
            <w:r w:rsidRPr="004A6BBF">
              <w:rPr>
                <w:b/>
                <w:bCs/>
              </w:rPr>
              <w:t>91%</w:t>
            </w:r>
            <w:r>
              <w:t xml:space="preserve"> of students Strongly Agreed or Agreed.</w:t>
            </w:r>
          </w:p>
          <w:p w14:paraId="7419FDEF" w14:textId="77777777" w:rsidR="006A77B1" w:rsidRPr="0079733A" w:rsidRDefault="006A77B1" w:rsidP="4D76C2C4">
            <w:pPr>
              <w:spacing w:line="259" w:lineRule="auto"/>
              <w:rPr>
                <w:rFonts w:eastAsiaTheme="minorEastAsia"/>
                <w:color w:val="3B3838" w:themeColor="background2" w:themeShade="40"/>
              </w:rPr>
            </w:pP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20F1C09A" w14:textId="7A988161" w:rsidR="4D76C2C4" w:rsidRDefault="00A21691" w:rsidP="00C12842">
            <w:pPr>
              <w:pStyle w:val="ListParagraph"/>
              <w:numPr>
                <w:ilvl w:val="0"/>
                <w:numId w:val="7"/>
              </w:numPr>
              <w:rPr>
                <w:rFonts w:ascii="Calibri" w:eastAsia="Calibri" w:hAnsi="Calibri" w:cs="Calibri"/>
                <w:color w:val="000000" w:themeColor="text1"/>
                <w:lang w:val="en-IE"/>
              </w:rPr>
            </w:pPr>
            <w:r w:rsidRPr="00C12842">
              <w:rPr>
                <w:rFonts w:ascii="Calibri" w:eastAsia="Calibri" w:hAnsi="Calibri" w:cs="Calibri"/>
                <w:color w:val="000000" w:themeColor="text1"/>
                <w:lang w:val="en-IE"/>
              </w:rPr>
              <w:t xml:space="preserve">There is a need to consider how this approach to </w:t>
            </w:r>
            <w:r w:rsidR="00727EAE" w:rsidRPr="00C12842">
              <w:rPr>
                <w:rFonts w:ascii="Calibri" w:eastAsia="Calibri" w:hAnsi="Calibri" w:cs="Calibri"/>
                <w:color w:val="000000" w:themeColor="text1"/>
                <w:lang w:val="en-IE"/>
              </w:rPr>
              <w:t xml:space="preserve">providing students with online access to key information could be </w:t>
            </w:r>
            <w:r w:rsidR="01141A2F" w:rsidRPr="02B8F103">
              <w:rPr>
                <w:rFonts w:ascii="Calibri" w:eastAsia="Calibri" w:hAnsi="Calibri" w:cs="Calibri"/>
                <w:color w:val="000000" w:themeColor="text1"/>
                <w:lang w:val="en-IE"/>
              </w:rPr>
              <w:t>extended</w:t>
            </w:r>
            <w:r w:rsidR="00727EAE" w:rsidRPr="00C12842">
              <w:rPr>
                <w:rFonts w:ascii="Calibri" w:eastAsia="Calibri" w:hAnsi="Calibri" w:cs="Calibri"/>
                <w:color w:val="000000" w:themeColor="text1"/>
                <w:lang w:val="en-IE"/>
              </w:rPr>
              <w:t xml:space="preserve"> for mid and final year students also.</w:t>
            </w:r>
          </w:p>
          <w:p w14:paraId="61B8B64A" w14:textId="34C6FA81" w:rsidR="00C12842" w:rsidRPr="00C12842" w:rsidRDefault="66951564" w:rsidP="00C12842">
            <w:pPr>
              <w:pStyle w:val="ListParagraph"/>
              <w:numPr>
                <w:ilvl w:val="0"/>
                <w:numId w:val="7"/>
              </w:numPr>
              <w:rPr>
                <w:rFonts w:ascii="Calibri" w:eastAsia="Calibri" w:hAnsi="Calibri" w:cs="Calibri"/>
                <w:color w:val="000000" w:themeColor="text1"/>
                <w:lang w:val="en-IE"/>
              </w:rPr>
            </w:pPr>
            <w:r w:rsidRPr="2D2D7A63">
              <w:rPr>
                <w:rFonts w:ascii="Calibri" w:eastAsia="Calibri" w:hAnsi="Calibri" w:cs="Calibri"/>
                <w:color w:val="000000" w:themeColor="text1"/>
                <w:lang w:val="en-IE"/>
              </w:rPr>
              <w:t xml:space="preserve">Given </w:t>
            </w:r>
            <w:r w:rsidRPr="27F2E14C">
              <w:rPr>
                <w:rFonts w:ascii="Calibri" w:eastAsia="Calibri" w:hAnsi="Calibri" w:cs="Calibri"/>
                <w:color w:val="000000" w:themeColor="text1"/>
                <w:lang w:val="en-IE"/>
              </w:rPr>
              <w:t xml:space="preserve">the </w:t>
            </w:r>
            <w:r w:rsidRPr="37B57F67">
              <w:rPr>
                <w:rFonts w:ascii="Calibri" w:eastAsia="Calibri" w:hAnsi="Calibri" w:cs="Calibri"/>
                <w:color w:val="000000" w:themeColor="text1"/>
                <w:lang w:val="en-IE"/>
              </w:rPr>
              <w:t xml:space="preserve">success </w:t>
            </w:r>
            <w:r w:rsidRPr="79C1DBA5">
              <w:rPr>
                <w:rFonts w:ascii="Calibri" w:eastAsia="Calibri" w:hAnsi="Calibri" w:cs="Calibri"/>
                <w:color w:val="000000" w:themeColor="text1"/>
                <w:lang w:val="en-IE"/>
              </w:rPr>
              <w:t>of positive</w:t>
            </w:r>
            <w:r w:rsidRPr="27F2E14C">
              <w:rPr>
                <w:rFonts w:ascii="Calibri" w:eastAsia="Calibri" w:hAnsi="Calibri" w:cs="Calibri"/>
                <w:color w:val="000000" w:themeColor="text1"/>
                <w:lang w:val="en-IE"/>
              </w:rPr>
              <w:t xml:space="preserve"> </w:t>
            </w:r>
            <w:r w:rsidRPr="716EFABA">
              <w:rPr>
                <w:rFonts w:ascii="Calibri" w:eastAsia="Calibri" w:hAnsi="Calibri" w:cs="Calibri"/>
                <w:color w:val="000000" w:themeColor="text1"/>
                <w:lang w:val="en-IE"/>
              </w:rPr>
              <w:t xml:space="preserve">student feedback </w:t>
            </w:r>
            <w:r w:rsidRPr="4C73A1A2">
              <w:rPr>
                <w:rFonts w:ascii="Calibri" w:eastAsia="Calibri" w:hAnsi="Calibri" w:cs="Calibri"/>
                <w:color w:val="000000" w:themeColor="text1"/>
                <w:lang w:val="en-IE"/>
              </w:rPr>
              <w:t xml:space="preserve">and </w:t>
            </w:r>
            <w:r w:rsidRPr="6DC9BAC1">
              <w:rPr>
                <w:rFonts w:ascii="Calibri" w:eastAsia="Calibri" w:hAnsi="Calibri" w:cs="Calibri"/>
                <w:color w:val="000000" w:themeColor="text1"/>
                <w:lang w:val="en-IE"/>
              </w:rPr>
              <w:t xml:space="preserve">stakeholder </w:t>
            </w:r>
            <w:r w:rsidRPr="479E2737">
              <w:rPr>
                <w:rFonts w:ascii="Calibri" w:eastAsia="Calibri" w:hAnsi="Calibri" w:cs="Calibri"/>
                <w:color w:val="000000" w:themeColor="text1"/>
                <w:lang w:val="en-IE"/>
              </w:rPr>
              <w:t xml:space="preserve">engagement </w:t>
            </w:r>
            <w:r w:rsidRPr="00572D56">
              <w:rPr>
                <w:rFonts w:ascii="Calibri" w:eastAsia="Calibri" w:hAnsi="Calibri" w:cs="Calibri"/>
                <w:color w:val="000000" w:themeColor="text1"/>
                <w:lang w:val="en-IE"/>
              </w:rPr>
              <w:t xml:space="preserve">to </w:t>
            </w:r>
            <w:r w:rsidRPr="654A95DB">
              <w:rPr>
                <w:rFonts w:ascii="Calibri" w:eastAsia="Calibri" w:hAnsi="Calibri" w:cs="Calibri"/>
                <w:color w:val="000000" w:themeColor="text1"/>
                <w:lang w:val="en-IE"/>
              </w:rPr>
              <w:t xml:space="preserve">date, </w:t>
            </w:r>
            <w:r w:rsidR="5D499650" w:rsidRPr="6E7F0F73">
              <w:rPr>
                <w:rFonts w:ascii="Calibri" w:eastAsia="Calibri" w:hAnsi="Calibri" w:cs="Calibri"/>
                <w:color w:val="000000" w:themeColor="text1"/>
                <w:lang w:val="en-IE"/>
              </w:rPr>
              <w:t xml:space="preserve">it is </w:t>
            </w:r>
            <w:r w:rsidR="5D499650" w:rsidRPr="1EE933E1">
              <w:rPr>
                <w:rFonts w:ascii="Calibri" w:eastAsia="Calibri" w:hAnsi="Calibri" w:cs="Calibri"/>
                <w:color w:val="000000" w:themeColor="text1"/>
                <w:lang w:val="en-IE"/>
              </w:rPr>
              <w:t xml:space="preserve">anticipated </w:t>
            </w:r>
            <w:r w:rsidR="5D499650" w:rsidRPr="0EEBBABE">
              <w:rPr>
                <w:rFonts w:ascii="Calibri" w:eastAsia="Calibri" w:hAnsi="Calibri" w:cs="Calibri"/>
                <w:color w:val="000000" w:themeColor="text1"/>
                <w:lang w:val="en-IE"/>
              </w:rPr>
              <w:t>that</w:t>
            </w:r>
            <w:r w:rsidRPr="2D2D7A63">
              <w:rPr>
                <w:rFonts w:ascii="Calibri" w:eastAsia="Calibri" w:hAnsi="Calibri" w:cs="Calibri"/>
                <w:color w:val="000000" w:themeColor="text1"/>
                <w:lang w:val="en-IE"/>
              </w:rPr>
              <w:t xml:space="preserve"> this </w:t>
            </w:r>
            <w:r w:rsidRPr="77C3674D">
              <w:rPr>
                <w:rFonts w:ascii="Calibri" w:eastAsia="Calibri" w:hAnsi="Calibri" w:cs="Calibri"/>
                <w:color w:val="000000" w:themeColor="text1"/>
                <w:lang w:val="en-IE"/>
              </w:rPr>
              <w:t>initiative</w:t>
            </w:r>
            <w:r w:rsidR="4CD13858" w:rsidRPr="77C3674D">
              <w:rPr>
                <w:rFonts w:ascii="Calibri" w:eastAsia="Calibri" w:hAnsi="Calibri" w:cs="Calibri"/>
                <w:color w:val="000000" w:themeColor="text1"/>
                <w:lang w:val="en-IE"/>
              </w:rPr>
              <w:t xml:space="preserve"> </w:t>
            </w:r>
            <w:r w:rsidR="4CD13858" w:rsidRPr="50B4491C">
              <w:rPr>
                <w:rFonts w:ascii="Calibri" w:eastAsia="Calibri" w:hAnsi="Calibri" w:cs="Calibri"/>
                <w:color w:val="000000" w:themeColor="text1"/>
                <w:lang w:val="en-IE"/>
              </w:rPr>
              <w:t xml:space="preserve">will </w:t>
            </w:r>
            <w:r w:rsidR="263CD1E8" w:rsidRPr="664A703F">
              <w:rPr>
                <w:rFonts w:ascii="Calibri" w:eastAsia="Calibri" w:hAnsi="Calibri" w:cs="Calibri"/>
                <w:color w:val="000000" w:themeColor="text1"/>
                <w:lang w:val="en-IE"/>
              </w:rPr>
              <w:t>become</w:t>
            </w:r>
            <w:r w:rsidR="4CD13858" w:rsidRPr="628AB16C">
              <w:rPr>
                <w:rFonts w:ascii="Calibri" w:eastAsia="Calibri" w:hAnsi="Calibri" w:cs="Calibri"/>
                <w:color w:val="000000" w:themeColor="text1"/>
                <w:lang w:val="en-IE"/>
              </w:rPr>
              <w:t xml:space="preserve"> </w:t>
            </w:r>
            <w:r w:rsidR="4CD13858" w:rsidRPr="2F7EF279">
              <w:rPr>
                <w:rFonts w:ascii="Calibri" w:eastAsia="Calibri" w:hAnsi="Calibri" w:cs="Calibri"/>
                <w:color w:val="000000" w:themeColor="text1"/>
                <w:lang w:val="en-IE"/>
              </w:rPr>
              <w:t xml:space="preserve">mainstreamed </w:t>
            </w:r>
            <w:r w:rsidR="4CD13858" w:rsidRPr="654F1BE4">
              <w:rPr>
                <w:rFonts w:ascii="Calibri" w:eastAsia="Calibri" w:hAnsi="Calibri" w:cs="Calibri"/>
                <w:color w:val="000000" w:themeColor="text1"/>
                <w:lang w:val="en-IE"/>
              </w:rPr>
              <w:t xml:space="preserve">once the </w:t>
            </w:r>
            <w:r w:rsidR="4CD13858" w:rsidRPr="443D5A7D">
              <w:rPr>
                <w:rFonts w:ascii="Calibri" w:eastAsia="Calibri" w:hAnsi="Calibri" w:cs="Calibri"/>
                <w:color w:val="000000" w:themeColor="text1"/>
                <w:lang w:val="en-IE"/>
              </w:rPr>
              <w:t xml:space="preserve">current </w:t>
            </w:r>
            <w:r w:rsidR="5862F642" w:rsidRPr="14EAB798">
              <w:rPr>
                <w:rFonts w:ascii="Calibri" w:eastAsia="Calibri" w:hAnsi="Calibri" w:cs="Calibri"/>
                <w:color w:val="000000" w:themeColor="text1"/>
                <w:lang w:val="en-IE"/>
              </w:rPr>
              <w:t xml:space="preserve">SATLE </w:t>
            </w:r>
            <w:r w:rsidR="4CD13858" w:rsidRPr="14EAB798">
              <w:rPr>
                <w:rFonts w:ascii="Calibri" w:eastAsia="Calibri" w:hAnsi="Calibri" w:cs="Calibri"/>
                <w:color w:val="000000" w:themeColor="text1"/>
                <w:lang w:val="en-IE"/>
              </w:rPr>
              <w:t xml:space="preserve">funding </w:t>
            </w:r>
            <w:r w:rsidR="4CD13858" w:rsidRPr="0B6B4EAF">
              <w:rPr>
                <w:rFonts w:ascii="Calibri" w:eastAsia="Calibri" w:hAnsi="Calibri" w:cs="Calibri"/>
                <w:color w:val="000000" w:themeColor="text1"/>
                <w:lang w:val="en-IE"/>
              </w:rPr>
              <w:t xml:space="preserve">period </w:t>
            </w:r>
            <w:r w:rsidR="4CD13858" w:rsidRPr="22577FD4">
              <w:rPr>
                <w:rFonts w:ascii="Calibri" w:eastAsia="Calibri" w:hAnsi="Calibri" w:cs="Calibri"/>
                <w:color w:val="000000" w:themeColor="text1"/>
                <w:lang w:val="en-IE"/>
              </w:rPr>
              <w:t xml:space="preserve">concludes. </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26A332DF" w14:textId="2AA2FCF0" w:rsidR="4D76C2C4" w:rsidRDefault="4D76C2C4" w:rsidP="4D76C2C4">
            <w:pPr>
              <w:spacing w:line="259" w:lineRule="auto"/>
              <w:rPr>
                <w:rFonts w:ascii="Calibri" w:eastAsia="Calibri" w:hAnsi="Calibri" w:cs="Calibri"/>
                <w:color w:val="000000" w:themeColor="text1"/>
                <w:lang w:val="en-IE"/>
              </w:rPr>
            </w:pPr>
          </w:p>
          <w:p w14:paraId="2D05DC65" w14:textId="7ABB96EC" w:rsidR="0097722D" w:rsidRDefault="0097722D" w:rsidP="00603E45">
            <w:pPr>
              <w:pStyle w:val="ListParagraph"/>
              <w:numPr>
                <w:ilvl w:val="0"/>
                <w:numId w:val="8"/>
              </w:numPr>
            </w:pPr>
            <w:r>
              <w:t>Student</w:t>
            </w:r>
            <w:r w:rsidR="00616E39">
              <w:t>s</w:t>
            </w:r>
            <w:r>
              <w:t xml:space="preserve"> valued the peer-led elements most</w:t>
            </w:r>
            <w:r w:rsidR="00780910">
              <w:t xml:space="preserve"> as it provided them with a relatable view of the student experience, providing reassurance that they were not alone in experiencing challenges.</w:t>
            </w:r>
          </w:p>
          <w:p w14:paraId="4C04B8EE" w14:textId="72F85C36" w:rsidR="005B5AA1" w:rsidRDefault="005B5AA1" w:rsidP="00603E45">
            <w:pPr>
              <w:pStyle w:val="ListParagraph"/>
              <w:numPr>
                <w:ilvl w:val="0"/>
                <w:numId w:val="8"/>
              </w:numPr>
            </w:pPr>
            <w:r>
              <w:t>A project such as this relies on stakeholder engagement and meticulous coordination as it brings together a lot of information from across the university</w:t>
            </w:r>
            <w:r w:rsidR="00C96ADA">
              <w:t>.</w:t>
            </w:r>
          </w:p>
          <w:p w14:paraId="49CE53A9" w14:textId="23630B1C" w:rsidR="00801E77" w:rsidRDefault="00B93B86" w:rsidP="00603E45">
            <w:pPr>
              <w:pStyle w:val="ListParagraph"/>
              <w:numPr>
                <w:ilvl w:val="0"/>
                <w:numId w:val="8"/>
              </w:numPr>
            </w:pPr>
            <w:r>
              <w:t xml:space="preserve">Through offering an online activity in advance of them arriving students had the opportunity to </w:t>
            </w:r>
            <w:proofErr w:type="spellStart"/>
            <w:r>
              <w:t>familiarise</w:t>
            </w:r>
            <w:proofErr w:type="spellEnd"/>
            <w:r>
              <w:t xml:space="preserve"> themselves with the campus and quell anxiety about starting some</w:t>
            </w:r>
            <w:r w:rsidR="5A59B03C">
              <w:t>thing</w:t>
            </w:r>
            <w:r>
              <w:t xml:space="preserve"> new in unfamiliar surroundings</w:t>
            </w:r>
            <w:r w:rsidR="00C96ADA">
              <w:t>.</w:t>
            </w:r>
          </w:p>
          <w:p w14:paraId="761340CA" w14:textId="58C71A0D" w:rsidR="002F65FC" w:rsidRDefault="002F65FC" w:rsidP="00603E45">
            <w:pPr>
              <w:pStyle w:val="ListParagraph"/>
              <w:numPr>
                <w:ilvl w:val="0"/>
                <w:numId w:val="8"/>
              </w:numPr>
            </w:pPr>
            <w:r>
              <w:t>The programme has provided us with an opportunity for us to road-test different approaches and techniques within our VLE on a large cohort of students in a low-stakes environment</w:t>
            </w:r>
            <w:r w:rsidR="00C96ADA">
              <w:t>.</w:t>
            </w:r>
          </w:p>
          <w:p w14:paraId="3C6F338B" w14:textId="4CF95749" w:rsidR="00C96ADA" w:rsidRDefault="00C96ADA" w:rsidP="00603E45">
            <w:pPr>
              <w:pStyle w:val="ListParagraph"/>
              <w:numPr>
                <w:ilvl w:val="0"/>
                <w:numId w:val="8"/>
              </w:numPr>
            </w:pPr>
            <w:r>
              <w:lastRenderedPageBreak/>
              <w:t xml:space="preserve">Working on this project has called for us to reexamine </w:t>
            </w:r>
            <w:r w:rsidR="005F148A">
              <w:t xml:space="preserve">beliefs that we as staff had about particular transitions and what students think and feel. Involving students in this work allows us to sense-check our activity and </w:t>
            </w:r>
            <w:r w:rsidR="00875A8D">
              <w:t>respond to the current student experience</w:t>
            </w:r>
          </w:p>
          <w:p w14:paraId="4BC2E4FE" w14:textId="77777777" w:rsidR="00B93B86" w:rsidRDefault="00B93B86" w:rsidP="4D76C2C4">
            <w:pPr>
              <w:spacing w:line="259" w:lineRule="auto"/>
              <w:rPr>
                <w:rFonts w:ascii="Calibri" w:eastAsia="Calibri" w:hAnsi="Calibri" w:cs="Calibri"/>
                <w:color w:val="000000" w:themeColor="text1"/>
                <w:lang w:val="en-IE"/>
              </w:rPr>
            </w:pP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049E090F" w:rsidR="004B67D1" w:rsidRDefault="64C96453" w:rsidP="004B67D1">
            <w:r w:rsidRPr="4D76C2C4">
              <w:rPr>
                <w:rFonts w:eastAsiaTheme="minorEastAsia"/>
              </w:rPr>
              <w:t>Commit</w:t>
            </w:r>
            <w:r w:rsidR="004B67D1">
              <w:t xml:space="preserve"> </w:t>
            </w:r>
            <w:sdt>
              <w:sdtPr>
                <w:id w:val="266208592"/>
                <w14:checkbox>
                  <w14:checked w14:val="1"/>
                  <w14:checkedState w14:val="2612" w14:font="MS Gothic"/>
                  <w14:uncheckedState w14:val="2610" w14:font="MS Gothic"/>
                </w14:checkbox>
              </w:sdtPr>
              <w:sdtContent>
                <w:r w:rsidR="00B161AD">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35F300D5"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1"/>
                  <w14:checkedState w14:val="2612" w14:font="MS Gothic"/>
                  <w14:uncheckedState w14:val="2610" w14:font="MS Gothic"/>
                </w14:checkbox>
              </w:sdtPr>
              <w:sdtContent>
                <w:r w:rsidR="00D41BCF">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02EC0846" w:rsidR="7A8C362C" w:rsidRDefault="273BC527" w:rsidP="4D76C2C4">
            <w:r w:rsidRPr="2CCD9E84">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00D41BCF">
                  <w:rPr>
                    <w:rFonts w:ascii="MS Gothic" w:eastAsia="MS Gothic" w:hAnsi="MS Gothic" w:hint="eastAsia"/>
                  </w:rPr>
                  <w:t>☒</w:t>
                </w:r>
              </w:sdtContent>
            </w:sdt>
          </w:p>
          <w:p w14:paraId="1AC78BA9" w14:textId="4E6765E4" w:rsidR="7A8C362C" w:rsidRDefault="7A8C362C" w:rsidP="2CCD9E84">
            <w:pPr>
              <w:rPr>
                <w:rFonts w:eastAsiaTheme="minorEastAsia"/>
              </w:rPr>
            </w:pPr>
          </w:p>
        </w:tc>
        <w:tc>
          <w:tcPr>
            <w:tcW w:w="1994" w:type="dxa"/>
          </w:tcPr>
          <w:p w14:paraId="78292EFA" w14:textId="05D90079"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7B1C8B">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2C2486AF" w:rsidR="004B67D1" w:rsidRDefault="64C96453" w:rsidP="004B67D1">
            <w:r w:rsidRPr="4D76C2C4">
              <w:rPr>
                <w:rFonts w:eastAsiaTheme="minorEastAsia"/>
              </w:rPr>
              <w:t>Coordinate</w:t>
            </w:r>
            <w:r w:rsidR="004B67D1">
              <w:t xml:space="preserve"> </w:t>
            </w:r>
            <w:sdt>
              <w:sdtPr>
                <w:id w:val="1146097568"/>
                <w14:checkbox>
                  <w14:checked w14:val="1"/>
                  <w14:checkedState w14:val="2612" w14:font="MS Gothic"/>
                  <w14:uncheckedState w14:val="2610" w14:font="MS Gothic"/>
                </w14:checkbox>
              </w:sdtPr>
              <w:sdtContent>
                <w:r w:rsidR="00B161AD">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174EAD11"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57919B00"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7B1C8B">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5C7CEB0B"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Content>
                <w:r w:rsidR="00B161AD">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5265FD5E"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D41BCF">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Default="367DA083" w:rsidP="4D76C2C4">
                <w:r w:rsidRPr="2CCD9E84">
                  <w:rPr>
                    <w:rFonts w:ascii="MS Gothic" w:eastAsia="MS Gothic" w:hAnsi="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45962A1E"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B161AD">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1DFC93E4"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0"/>
                <w14:checkedState w14:val="2612" w14:font="MS Gothic"/>
                <w14:uncheckedState w14:val="2610" w14:font="MS Gothic"/>
              </w14:checkbox>
            </w:sdtPr>
            <w:sdtContent>
              <w:p w14:paraId="37386CD6" w14:textId="77777777" w:rsidR="4D76C2C4" w:rsidRDefault="3144F35D" w:rsidP="4D76C2C4">
                <w:r w:rsidRPr="2CCD9E84">
                  <w:rPr>
                    <w:rFonts w:ascii="MS Gothic" w:eastAsia="MS Gothic" w:hAnsi="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596396D9"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Content>
                <w:r w:rsidR="00B161AD">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0EC3B4C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0"/>
                <w14:checkedState w14:val="2612" w14:font="MS Gothic"/>
                <w14:uncheckedState w14:val="2610" w14:font="MS Gothic"/>
              </w14:checkbox>
            </w:sdtPr>
            <w:sdtContent>
              <w:p w14:paraId="660CF1DD" w14:textId="77777777" w:rsidR="4D76C2C4" w:rsidRDefault="5C5B25A3" w:rsidP="4D76C2C4">
                <w:r w:rsidRPr="2CCD9E84">
                  <w:rPr>
                    <w:rFonts w:ascii="MS Gothic" w:eastAsia="MS Gothic" w:hAnsi="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6ED327D8" w:rsidR="4D76C2C4" w:rsidRDefault="007B1C8B" w:rsidP="4D76C2C4">
                <w:r>
                  <w:rPr>
                    <w:rFonts w:ascii="MS Gothic" w:eastAsia="MS Gothic" w:hAnsi="MS Gothic" w:hint="eastAsia"/>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67E81A1C" w:rsidR="4D76C2C4" w:rsidRDefault="00D41BCF"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76C4B626" w14:textId="675C78C7" w:rsidR="004B67D1" w:rsidRPr="009E7454" w:rsidRDefault="5C5B25A3" w:rsidP="2CCD9E84">
                <w:r w:rsidRPr="009E7454">
                  <w:rPr>
                    <w:rFonts w:ascii="MS Gothic" w:hAnsi="MS Gothic"/>
                  </w:rPr>
                  <w:t>☐</w:t>
                </w:r>
              </w:p>
            </w:sdtContent>
          </w:sdt>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CE31C59" w:rsidR="4D76C2C4" w:rsidRDefault="00CF6830"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Eddie Corr</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20B6C6E5" w:rsidR="006A77B1" w:rsidRDefault="00875A8D"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18/11/2024</w:t>
            </w: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04BECD4" w:rsidR="4D76C2C4" w:rsidRDefault="00A211A8"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e</w:t>
            </w:r>
            <w:r w:rsidR="00CF6830">
              <w:rPr>
                <w:rFonts w:ascii="Calibri" w:eastAsia="Calibri" w:hAnsi="Calibri" w:cs="Calibri"/>
                <w:color w:val="000000" w:themeColor="text1"/>
                <w:lang w:val="en-IE"/>
              </w:rPr>
              <w:t>ddie.corr@mu.ie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1A716020" w14:textId="53876A3C" w:rsidR="00CF6830" w:rsidRPr="00CF6830" w:rsidRDefault="00CF6830" w:rsidP="00AB6F36">
            <w:pPr>
              <w:rPr>
                <w:rFonts w:ascii="Calibri" w:eastAsia="Calibri" w:hAnsi="Calibri" w:cs="Calibri"/>
                <w:b/>
                <w:bCs/>
                <w:color w:val="000000" w:themeColor="text1"/>
                <w:lang w:val="en-IE"/>
              </w:rPr>
            </w:pPr>
            <w:r w:rsidRPr="00CF6830">
              <w:rPr>
                <w:rFonts w:ascii="Calibri" w:eastAsia="Calibri" w:hAnsi="Calibri" w:cs="Calibri"/>
                <w:b/>
                <w:bCs/>
                <w:color w:val="000000" w:themeColor="text1"/>
                <w:lang w:val="en-IE"/>
              </w:rPr>
              <w:t>My Maynooth on Moodle</w:t>
            </w:r>
          </w:p>
          <w:p w14:paraId="555D4337" w14:textId="77777777" w:rsidR="00D622B3" w:rsidRPr="00D622B3" w:rsidRDefault="00CF6830" w:rsidP="00D622B3">
            <w:pPr>
              <w:rPr>
                <w:rFonts w:ascii="Calibri" w:eastAsia="Calibri" w:hAnsi="Calibri" w:cs="Calibri"/>
                <w:color w:val="000000" w:themeColor="text1"/>
                <w:lang w:val="en-IE"/>
              </w:rPr>
            </w:pPr>
            <w:r>
              <w:rPr>
                <w:rFonts w:ascii="Calibri" w:eastAsia="Calibri" w:hAnsi="Calibri" w:cs="Calibri"/>
                <w:color w:val="000000" w:themeColor="text1"/>
                <w:lang w:val="en-IE"/>
              </w:rPr>
              <w:t>Landing Page:</w:t>
            </w:r>
            <w:r w:rsidR="00D622B3">
              <w:rPr>
                <w:rFonts w:ascii="Calibri" w:eastAsia="Calibri" w:hAnsi="Calibri" w:cs="Calibri"/>
                <w:color w:val="000000" w:themeColor="text1"/>
                <w:lang w:val="en-IE"/>
              </w:rPr>
              <w:t xml:space="preserve"> </w:t>
            </w:r>
            <w:hyperlink r:id="rId11" w:history="1">
              <w:r w:rsidR="00D622B3" w:rsidRPr="00D622B3">
                <w:rPr>
                  <w:rStyle w:val="Hyperlink"/>
                  <w:rFonts w:ascii="Calibri" w:eastAsia="Calibri" w:hAnsi="Calibri" w:cs="Calibri"/>
                  <w:lang w:val="en-IE"/>
                </w:rPr>
                <w:t xml:space="preserve">01 _My Maynooth on </w:t>
              </w:r>
              <w:proofErr w:type="spellStart"/>
              <w:r w:rsidR="00D622B3" w:rsidRPr="00D622B3">
                <w:rPr>
                  <w:rStyle w:val="Hyperlink"/>
                  <w:rFonts w:ascii="Calibri" w:eastAsia="Calibri" w:hAnsi="Calibri" w:cs="Calibri"/>
                  <w:lang w:val="en-IE"/>
                </w:rPr>
                <w:t>Moodle_Landing</w:t>
              </w:r>
              <w:proofErr w:type="spellEnd"/>
              <w:r w:rsidR="00D622B3" w:rsidRPr="00D622B3">
                <w:rPr>
                  <w:rStyle w:val="Hyperlink"/>
                  <w:rFonts w:ascii="Calibri" w:eastAsia="Calibri" w:hAnsi="Calibri" w:cs="Calibri"/>
                  <w:lang w:val="en-IE"/>
                </w:rPr>
                <w:t xml:space="preserve"> Page.jpg</w:t>
              </w:r>
            </w:hyperlink>
          </w:p>
          <w:p w14:paraId="395ADDC7" w14:textId="3B43AA82" w:rsidR="00CF6830" w:rsidRDefault="00CF6830" w:rsidP="00AB6F36">
            <w:pPr>
              <w:rPr>
                <w:rFonts w:ascii="Calibri" w:eastAsia="Calibri" w:hAnsi="Calibri" w:cs="Calibri"/>
                <w:color w:val="000000" w:themeColor="text1"/>
                <w:lang w:val="en-IE"/>
              </w:rPr>
            </w:pPr>
            <w:r>
              <w:rPr>
                <w:rFonts w:ascii="Calibri" w:eastAsia="Calibri" w:hAnsi="Calibri" w:cs="Calibri"/>
                <w:color w:val="000000" w:themeColor="text1"/>
                <w:lang w:val="en-IE"/>
              </w:rPr>
              <w:t>Course Content:</w:t>
            </w:r>
            <w:r w:rsidR="00D622B3">
              <w:rPr>
                <w:rFonts w:ascii="Calibri" w:eastAsia="Calibri" w:hAnsi="Calibri" w:cs="Calibri"/>
                <w:color w:val="000000" w:themeColor="text1"/>
                <w:lang w:val="en-IE"/>
              </w:rPr>
              <w:t xml:space="preserve"> </w:t>
            </w:r>
            <w:hyperlink r:id="rId12" w:history="1">
              <w:r w:rsidR="007E6513" w:rsidRPr="007E6513">
                <w:rPr>
                  <w:rStyle w:val="Hyperlink"/>
                  <w:rFonts w:ascii="Calibri" w:eastAsia="Calibri" w:hAnsi="Calibri" w:cs="Calibri"/>
                  <w:lang w:val="en-IE"/>
                </w:rPr>
                <w:t xml:space="preserve">02_My Maynooth on </w:t>
              </w:r>
              <w:proofErr w:type="spellStart"/>
              <w:r w:rsidR="007E6513" w:rsidRPr="007E6513">
                <w:rPr>
                  <w:rStyle w:val="Hyperlink"/>
                  <w:rFonts w:ascii="Calibri" w:eastAsia="Calibri" w:hAnsi="Calibri" w:cs="Calibri"/>
                  <w:lang w:val="en-IE"/>
                </w:rPr>
                <w:t>Moodle_Course</w:t>
              </w:r>
              <w:proofErr w:type="spellEnd"/>
              <w:r w:rsidR="007E6513" w:rsidRPr="007E6513">
                <w:rPr>
                  <w:rStyle w:val="Hyperlink"/>
                  <w:rFonts w:ascii="Calibri" w:eastAsia="Calibri" w:hAnsi="Calibri" w:cs="Calibri"/>
                  <w:lang w:val="en-IE"/>
                </w:rPr>
                <w:t xml:space="preserve"> Content.jpg</w:t>
              </w:r>
            </w:hyperlink>
          </w:p>
          <w:p w14:paraId="06085036" w14:textId="28F8A5C0" w:rsidR="00CF6830" w:rsidRDefault="00CF6830" w:rsidP="00AB6F36">
            <w:pPr>
              <w:rPr>
                <w:rFonts w:ascii="Calibri" w:eastAsia="Calibri" w:hAnsi="Calibri" w:cs="Calibri"/>
                <w:color w:val="000000" w:themeColor="text1"/>
                <w:lang w:val="en-IE"/>
              </w:rPr>
            </w:pPr>
            <w:r>
              <w:rPr>
                <w:rFonts w:ascii="Calibri" w:eastAsia="Calibri" w:hAnsi="Calibri" w:cs="Calibri"/>
                <w:color w:val="000000" w:themeColor="text1"/>
                <w:lang w:val="en-IE"/>
              </w:rPr>
              <w:t>First Steps Module:</w:t>
            </w:r>
            <w:r w:rsidR="007E6513">
              <w:rPr>
                <w:rFonts w:ascii="Calibri" w:eastAsia="Calibri" w:hAnsi="Calibri" w:cs="Calibri"/>
                <w:color w:val="000000" w:themeColor="text1"/>
                <w:lang w:val="en-IE"/>
              </w:rPr>
              <w:t xml:space="preserve"> </w:t>
            </w:r>
            <w:hyperlink r:id="rId13" w:history="1">
              <w:r w:rsidR="008F6C39" w:rsidRPr="008F6C39">
                <w:rPr>
                  <w:rStyle w:val="Hyperlink"/>
                  <w:rFonts w:ascii="Calibri" w:eastAsia="Calibri" w:hAnsi="Calibri" w:cs="Calibri"/>
                  <w:lang w:val="en-IE"/>
                </w:rPr>
                <w:t xml:space="preserve">03_My Maynooth on </w:t>
              </w:r>
              <w:proofErr w:type="spellStart"/>
              <w:r w:rsidR="008F6C39" w:rsidRPr="008F6C39">
                <w:rPr>
                  <w:rStyle w:val="Hyperlink"/>
                  <w:rFonts w:ascii="Calibri" w:eastAsia="Calibri" w:hAnsi="Calibri" w:cs="Calibri"/>
                  <w:lang w:val="en-IE"/>
                </w:rPr>
                <w:t>Moodle_First</w:t>
              </w:r>
              <w:proofErr w:type="spellEnd"/>
              <w:r w:rsidR="008F6C39" w:rsidRPr="008F6C39">
                <w:rPr>
                  <w:rStyle w:val="Hyperlink"/>
                  <w:rFonts w:ascii="Calibri" w:eastAsia="Calibri" w:hAnsi="Calibri" w:cs="Calibri"/>
                  <w:lang w:val="en-IE"/>
                </w:rPr>
                <w:t xml:space="preserve"> Steps.jpg</w:t>
              </w:r>
            </w:hyperlink>
          </w:p>
          <w:p w14:paraId="6EDE73F6" w14:textId="52BCDEB2" w:rsidR="00CF6830" w:rsidRDefault="00CF6830" w:rsidP="00AB6F36">
            <w:pPr>
              <w:rPr>
                <w:rFonts w:ascii="Calibri" w:eastAsia="Calibri" w:hAnsi="Calibri" w:cs="Calibri"/>
                <w:color w:val="000000" w:themeColor="text1"/>
                <w:lang w:val="en-IE"/>
              </w:rPr>
            </w:pPr>
            <w:r>
              <w:rPr>
                <w:rFonts w:ascii="Calibri" w:eastAsia="Calibri" w:hAnsi="Calibri" w:cs="Calibri"/>
                <w:color w:val="000000" w:themeColor="text1"/>
                <w:lang w:val="en-IE"/>
              </w:rPr>
              <w:t>Video Content:</w:t>
            </w:r>
            <w:r w:rsidR="008F6C39">
              <w:rPr>
                <w:rFonts w:ascii="Calibri" w:eastAsia="Calibri" w:hAnsi="Calibri" w:cs="Calibri"/>
                <w:color w:val="000000" w:themeColor="text1"/>
                <w:lang w:val="en-IE"/>
              </w:rPr>
              <w:t xml:space="preserve"> </w:t>
            </w:r>
            <w:hyperlink r:id="rId14" w:history="1">
              <w:r w:rsidR="009036AC" w:rsidRPr="009036AC">
                <w:rPr>
                  <w:rStyle w:val="Hyperlink"/>
                  <w:rFonts w:ascii="Calibri" w:eastAsia="Calibri" w:hAnsi="Calibri" w:cs="Calibri"/>
                  <w:lang w:val="en-IE"/>
                </w:rPr>
                <w:t xml:space="preserve">04_My Maynooth on </w:t>
              </w:r>
              <w:proofErr w:type="spellStart"/>
              <w:r w:rsidR="009036AC" w:rsidRPr="009036AC">
                <w:rPr>
                  <w:rStyle w:val="Hyperlink"/>
                  <w:rFonts w:ascii="Calibri" w:eastAsia="Calibri" w:hAnsi="Calibri" w:cs="Calibri"/>
                  <w:lang w:val="en-IE"/>
                </w:rPr>
                <w:t>Moodle_Video</w:t>
              </w:r>
              <w:proofErr w:type="spellEnd"/>
              <w:r w:rsidR="009036AC" w:rsidRPr="009036AC">
                <w:rPr>
                  <w:rStyle w:val="Hyperlink"/>
                  <w:rFonts w:ascii="Calibri" w:eastAsia="Calibri" w:hAnsi="Calibri" w:cs="Calibri"/>
                  <w:lang w:val="en-IE"/>
                </w:rPr>
                <w:t xml:space="preserve"> Content.jpg</w:t>
              </w:r>
            </w:hyperlink>
          </w:p>
          <w:p w14:paraId="5A27B924" w14:textId="64014DE4" w:rsidR="00CF6830" w:rsidRDefault="008F2D8B" w:rsidP="00AB6F36">
            <w:pPr>
              <w:rPr>
                <w:rFonts w:ascii="Calibri" w:eastAsia="Calibri" w:hAnsi="Calibri" w:cs="Calibri"/>
                <w:color w:val="000000" w:themeColor="text1"/>
                <w:lang w:val="en-IE"/>
              </w:rPr>
            </w:pPr>
            <w:r>
              <w:rPr>
                <w:rFonts w:ascii="Calibri" w:eastAsia="Calibri" w:hAnsi="Calibri" w:cs="Calibri"/>
                <w:color w:val="000000" w:themeColor="text1"/>
                <w:lang w:val="en-IE"/>
              </w:rPr>
              <w:t>Activity:</w:t>
            </w:r>
            <w:r w:rsidR="00B93E88">
              <w:rPr>
                <w:rFonts w:ascii="Calibri" w:eastAsia="Calibri" w:hAnsi="Calibri" w:cs="Calibri"/>
                <w:color w:val="000000" w:themeColor="text1"/>
                <w:lang w:val="en-IE"/>
              </w:rPr>
              <w:t xml:space="preserve"> </w:t>
            </w:r>
            <w:hyperlink r:id="rId15" w:history="1">
              <w:r w:rsidR="00B93E88" w:rsidRPr="00B93E88">
                <w:rPr>
                  <w:rStyle w:val="Hyperlink"/>
                  <w:rFonts w:ascii="Calibri" w:eastAsia="Calibri" w:hAnsi="Calibri" w:cs="Calibri"/>
                  <w:lang w:val="en-IE"/>
                </w:rPr>
                <w:t>05_My Maynooth on Moodle_Activity.jpg</w:t>
              </w:r>
            </w:hyperlink>
          </w:p>
          <w:p w14:paraId="5608E367" w14:textId="77777777" w:rsidR="000A0E9C" w:rsidRPr="000A0E9C" w:rsidRDefault="008F2D8B" w:rsidP="000A0E9C">
            <w:pPr>
              <w:rPr>
                <w:rFonts w:ascii="Calibri" w:eastAsia="Calibri" w:hAnsi="Calibri" w:cs="Calibri"/>
                <w:color w:val="000000" w:themeColor="text1"/>
                <w:lang w:val="en-IE"/>
              </w:rPr>
            </w:pPr>
            <w:r>
              <w:rPr>
                <w:rFonts w:ascii="Calibri" w:eastAsia="Calibri" w:hAnsi="Calibri" w:cs="Calibri"/>
                <w:color w:val="000000" w:themeColor="text1"/>
                <w:lang w:val="en-IE"/>
              </w:rPr>
              <w:t>Video Library:</w:t>
            </w:r>
            <w:r w:rsidR="00B93E88">
              <w:rPr>
                <w:rFonts w:ascii="Calibri" w:eastAsia="Calibri" w:hAnsi="Calibri" w:cs="Calibri"/>
                <w:color w:val="000000" w:themeColor="text1"/>
                <w:lang w:val="en-IE"/>
              </w:rPr>
              <w:t xml:space="preserve"> </w:t>
            </w:r>
            <w:hyperlink r:id="rId16" w:history="1">
              <w:r w:rsidR="000A0E9C" w:rsidRPr="000A0E9C">
                <w:rPr>
                  <w:rStyle w:val="Hyperlink"/>
                  <w:rFonts w:ascii="Calibri" w:eastAsia="Calibri" w:hAnsi="Calibri" w:cs="Calibri"/>
                  <w:lang w:val="en-IE"/>
                </w:rPr>
                <w:t xml:space="preserve">06_My Maynooth on </w:t>
              </w:r>
              <w:proofErr w:type="spellStart"/>
              <w:r w:rsidR="000A0E9C" w:rsidRPr="000A0E9C">
                <w:rPr>
                  <w:rStyle w:val="Hyperlink"/>
                  <w:rFonts w:ascii="Calibri" w:eastAsia="Calibri" w:hAnsi="Calibri" w:cs="Calibri"/>
                  <w:lang w:val="en-IE"/>
                </w:rPr>
                <w:t>Moodle_Video</w:t>
              </w:r>
              <w:proofErr w:type="spellEnd"/>
              <w:r w:rsidR="000A0E9C" w:rsidRPr="000A0E9C">
                <w:rPr>
                  <w:rStyle w:val="Hyperlink"/>
                  <w:rFonts w:ascii="Calibri" w:eastAsia="Calibri" w:hAnsi="Calibri" w:cs="Calibri"/>
                  <w:lang w:val="en-IE"/>
                </w:rPr>
                <w:t xml:space="preserve"> Library.jpg</w:t>
              </w:r>
            </w:hyperlink>
          </w:p>
          <w:p w14:paraId="2220BD88" w14:textId="5EE8811E" w:rsidR="008F2D8B" w:rsidRDefault="000A0E9C" w:rsidP="00AB6F36">
            <w:pPr>
              <w:rPr>
                <w:rFonts w:ascii="Calibri" w:eastAsia="Calibri" w:hAnsi="Calibri" w:cs="Calibri"/>
                <w:color w:val="000000" w:themeColor="text1"/>
                <w:lang w:val="en-IE"/>
              </w:rPr>
            </w:pPr>
            <w:r>
              <w:rPr>
                <w:rFonts w:ascii="Calibri" w:eastAsia="Calibri" w:hAnsi="Calibri" w:cs="Calibri"/>
                <w:color w:val="000000" w:themeColor="text1"/>
                <w:lang w:val="en-IE"/>
              </w:rPr>
              <w:t xml:space="preserve">Graphic: </w:t>
            </w:r>
            <w:hyperlink r:id="rId17" w:history="1">
              <w:r w:rsidR="000863FC" w:rsidRPr="000863FC">
                <w:rPr>
                  <w:rStyle w:val="Hyperlink"/>
                  <w:rFonts w:ascii="Calibri" w:eastAsia="Calibri" w:hAnsi="Calibri" w:cs="Calibri"/>
                  <w:lang w:val="en-IE"/>
                </w:rPr>
                <w:t>07_My Maynooth on Moodle_Graphic.png</w:t>
              </w:r>
            </w:hyperlink>
          </w:p>
          <w:p w14:paraId="0CDF91C8" w14:textId="2442ECF7" w:rsidR="00CF6830" w:rsidRDefault="00CF6830" w:rsidP="00AB6F36">
            <w:pPr>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0688913F" w14:textId="038E8734" w:rsidR="4D76C2C4" w:rsidRDefault="79FA0A4A" w:rsidP="4D76C2C4">
      <w:r>
        <w:br/>
      </w:r>
    </w:p>
    <w:sectPr w:rsidR="4D76C2C4">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0003D" w14:textId="77777777" w:rsidR="001A6CEA" w:rsidRDefault="001A6CEA" w:rsidP="00801E77">
      <w:pPr>
        <w:spacing w:after="0" w:line="240" w:lineRule="auto"/>
      </w:pPr>
      <w:r>
        <w:separator/>
      </w:r>
    </w:p>
  </w:endnote>
  <w:endnote w:type="continuationSeparator" w:id="0">
    <w:p w14:paraId="55662C8C" w14:textId="77777777" w:rsidR="001A6CEA" w:rsidRDefault="001A6CEA" w:rsidP="00801E77">
      <w:pPr>
        <w:spacing w:after="0" w:line="240" w:lineRule="auto"/>
      </w:pPr>
      <w:r>
        <w:continuationSeparator/>
      </w:r>
    </w:p>
  </w:endnote>
  <w:endnote w:type="continuationNotice" w:id="1">
    <w:p w14:paraId="4EDFCF32" w14:textId="77777777" w:rsidR="001A6CEA" w:rsidRDefault="001A6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382205"/>
      <w:docPartObj>
        <w:docPartGallery w:val="Page Numbers (Bottom of Page)"/>
        <w:docPartUnique/>
      </w:docPartObj>
    </w:sdtPr>
    <w:sdtContent>
      <w:p w14:paraId="1D6EADE8" w14:textId="702620CE" w:rsidR="009E7454" w:rsidRDefault="009E7454"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F79FE" w14:textId="77777777" w:rsidR="009E7454" w:rsidRDefault="009E7454" w:rsidP="009E7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3323029"/>
      <w:docPartObj>
        <w:docPartGallery w:val="Page Numbers (Bottom of Page)"/>
        <w:docPartUnique/>
      </w:docPartObj>
    </w:sdtPr>
    <w:sdtContent>
      <w:p w14:paraId="58744893" w14:textId="69C80318" w:rsidR="009E7454" w:rsidRDefault="009E7454"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84F48FB" w14:textId="4C7B66B8" w:rsidR="00801E77" w:rsidRDefault="00760A27" w:rsidP="009E7454">
    <w:pPr>
      <w:pStyle w:val="Footer"/>
      <w:ind w:right="360"/>
    </w:pPr>
    <w:r>
      <w:rPr>
        <w:noProof/>
      </w:rPr>
      <w:drawing>
        <wp:anchor distT="0" distB="0" distL="114300" distR="114300" simplePos="0" relativeHeight="251658240" behindDoc="0" locked="0" layoutInCell="1" allowOverlap="1" wp14:anchorId="4D2040BC" wp14:editId="21648537">
          <wp:simplePos x="0" y="0"/>
          <wp:positionH relativeFrom="column">
            <wp:posOffset>3935095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10961" w14:textId="77777777" w:rsidR="001A6CEA" w:rsidRDefault="001A6CEA" w:rsidP="00801E77">
      <w:pPr>
        <w:spacing w:after="0" w:line="240" w:lineRule="auto"/>
      </w:pPr>
      <w:r>
        <w:separator/>
      </w:r>
    </w:p>
  </w:footnote>
  <w:footnote w:type="continuationSeparator" w:id="0">
    <w:p w14:paraId="40E2383C" w14:textId="77777777" w:rsidR="001A6CEA" w:rsidRDefault="001A6CEA" w:rsidP="00801E77">
      <w:pPr>
        <w:spacing w:after="0" w:line="240" w:lineRule="auto"/>
      </w:pPr>
      <w:r>
        <w:continuationSeparator/>
      </w:r>
    </w:p>
  </w:footnote>
  <w:footnote w:type="continuationNotice" w:id="1">
    <w:p w14:paraId="6CDD52EB" w14:textId="77777777" w:rsidR="001A6CEA" w:rsidRDefault="001A6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9280" w14:textId="44171760" w:rsidR="00FE5770" w:rsidRDefault="00FE5770" w:rsidP="00FE5770">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E0D08"/>
    <w:multiLevelType w:val="hybridMultilevel"/>
    <w:tmpl w:val="2B443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D61BBC"/>
    <w:multiLevelType w:val="hybridMultilevel"/>
    <w:tmpl w:val="55109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B4363EB"/>
    <w:multiLevelType w:val="hybridMultilevel"/>
    <w:tmpl w:val="F5160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0B84982"/>
    <w:multiLevelType w:val="hybridMultilevel"/>
    <w:tmpl w:val="1E90E3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5" w15:restartNumberingAfterBreak="0">
    <w:nsid w:val="67D352ED"/>
    <w:multiLevelType w:val="hybridMultilevel"/>
    <w:tmpl w:val="373A3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18D7F54"/>
    <w:multiLevelType w:val="hybridMultilevel"/>
    <w:tmpl w:val="28FA6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4385C59"/>
    <w:multiLevelType w:val="hybridMultilevel"/>
    <w:tmpl w:val="D3700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4"/>
  </w:num>
  <w:num w:numId="2" w16cid:durableId="831336508">
    <w:abstractNumId w:val="0"/>
  </w:num>
  <w:num w:numId="3" w16cid:durableId="328556115">
    <w:abstractNumId w:val="5"/>
  </w:num>
  <w:num w:numId="4" w16cid:durableId="1446579576">
    <w:abstractNumId w:val="6"/>
  </w:num>
  <w:num w:numId="5" w16cid:durableId="997883463">
    <w:abstractNumId w:val="2"/>
  </w:num>
  <w:num w:numId="6" w16cid:durableId="1451168732">
    <w:abstractNumId w:val="3"/>
  </w:num>
  <w:num w:numId="7" w16cid:durableId="109907137">
    <w:abstractNumId w:val="7"/>
  </w:num>
  <w:num w:numId="8" w16cid:durableId="123832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WXlOxMy492/fgNhokjOyAKe+EYf2fKL70nwvHp8e1L6VnnhFIu8gT/LukysMtw2S4N8IqrZAP1zVkCAe/iUQYQ==" w:salt="Z1aeS/5GbaSBeV2RucFJEQ=="/>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11F4"/>
    <w:rsid w:val="00025B8D"/>
    <w:rsid w:val="00026405"/>
    <w:rsid w:val="00053622"/>
    <w:rsid w:val="00062003"/>
    <w:rsid w:val="00067A50"/>
    <w:rsid w:val="000863FC"/>
    <w:rsid w:val="00093858"/>
    <w:rsid w:val="000956D8"/>
    <w:rsid w:val="000A0E9C"/>
    <w:rsid w:val="000A63C9"/>
    <w:rsid w:val="000A7DCF"/>
    <w:rsid w:val="000B1727"/>
    <w:rsid w:val="000D4221"/>
    <w:rsid w:val="000D4E7D"/>
    <w:rsid w:val="000E49B3"/>
    <w:rsid w:val="000E5599"/>
    <w:rsid w:val="000F4BC8"/>
    <w:rsid w:val="00101D93"/>
    <w:rsid w:val="00117183"/>
    <w:rsid w:val="0011742A"/>
    <w:rsid w:val="00121B88"/>
    <w:rsid w:val="001230CC"/>
    <w:rsid w:val="0012546D"/>
    <w:rsid w:val="00152F7A"/>
    <w:rsid w:val="0019761B"/>
    <w:rsid w:val="001A368B"/>
    <w:rsid w:val="001A41AB"/>
    <w:rsid w:val="001A6CEA"/>
    <w:rsid w:val="001C1AEF"/>
    <w:rsid w:val="001C28F8"/>
    <w:rsid w:val="001E34F4"/>
    <w:rsid w:val="002072A4"/>
    <w:rsid w:val="00242D7F"/>
    <w:rsid w:val="00247131"/>
    <w:rsid w:val="002511A5"/>
    <w:rsid w:val="002529D1"/>
    <w:rsid w:val="0025623A"/>
    <w:rsid w:val="0026320F"/>
    <w:rsid w:val="002755CA"/>
    <w:rsid w:val="00277C19"/>
    <w:rsid w:val="002B470F"/>
    <w:rsid w:val="002E204A"/>
    <w:rsid w:val="002E6CE7"/>
    <w:rsid w:val="002F0B64"/>
    <w:rsid w:val="002F65FC"/>
    <w:rsid w:val="00303798"/>
    <w:rsid w:val="003154A1"/>
    <w:rsid w:val="00315E2D"/>
    <w:rsid w:val="00340E53"/>
    <w:rsid w:val="003465DB"/>
    <w:rsid w:val="00354A67"/>
    <w:rsid w:val="003753F8"/>
    <w:rsid w:val="003A35C2"/>
    <w:rsid w:val="003C71C1"/>
    <w:rsid w:val="003E633C"/>
    <w:rsid w:val="003E7A48"/>
    <w:rsid w:val="003F479B"/>
    <w:rsid w:val="003F4A1D"/>
    <w:rsid w:val="003F4D23"/>
    <w:rsid w:val="00404105"/>
    <w:rsid w:val="004052A2"/>
    <w:rsid w:val="00421161"/>
    <w:rsid w:val="004265FB"/>
    <w:rsid w:val="0043064E"/>
    <w:rsid w:val="004367F9"/>
    <w:rsid w:val="00446953"/>
    <w:rsid w:val="004620B7"/>
    <w:rsid w:val="004736E0"/>
    <w:rsid w:val="00492936"/>
    <w:rsid w:val="00493AE3"/>
    <w:rsid w:val="00497668"/>
    <w:rsid w:val="004A063F"/>
    <w:rsid w:val="004A6BBF"/>
    <w:rsid w:val="004B1F7B"/>
    <w:rsid w:val="004B5AAA"/>
    <w:rsid w:val="004B67D1"/>
    <w:rsid w:val="004E21C5"/>
    <w:rsid w:val="004E777C"/>
    <w:rsid w:val="004F4D22"/>
    <w:rsid w:val="00503554"/>
    <w:rsid w:val="005163E2"/>
    <w:rsid w:val="005178AF"/>
    <w:rsid w:val="00522025"/>
    <w:rsid w:val="00541343"/>
    <w:rsid w:val="0054371E"/>
    <w:rsid w:val="0054796A"/>
    <w:rsid w:val="00561B03"/>
    <w:rsid w:val="00572D56"/>
    <w:rsid w:val="00577601"/>
    <w:rsid w:val="0058191D"/>
    <w:rsid w:val="00583A2E"/>
    <w:rsid w:val="00585932"/>
    <w:rsid w:val="00591619"/>
    <w:rsid w:val="005B5AA1"/>
    <w:rsid w:val="005C74A4"/>
    <w:rsid w:val="005F148A"/>
    <w:rsid w:val="00603E45"/>
    <w:rsid w:val="00615406"/>
    <w:rsid w:val="00616E39"/>
    <w:rsid w:val="00625F29"/>
    <w:rsid w:val="00630B93"/>
    <w:rsid w:val="006310E9"/>
    <w:rsid w:val="006365B5"/>
    <w:rsid w:val="00642159"/>
    <w:rsid w:val="00642488"/>
    <w:rsid w:val="006542E1"/>
    <w:rsid w:val="00654FF5"/>
    <w:rsid w:val="00657015"/>
    <w:rsid w:val="00660B5F"/>
    <w:rsid w:val="00684869"/>
    <w:rsid w:val="00694211"/>
    <w:rsid w:val="006A77B1"/>
    <w:rsid w:val="006D6281"/>
    <w:rsid w:val="006F3B69"/>
    <w:rsid w:val="006F7939"/>
    <w:rsid w:val="00707674"/>
    <w:rsid w:val="007140CC"/>
    <w:rsid w:val="007250F6"/>
    <w:rsid w:val="00727EAE"/>
    <w:rsid w:val="00750248"/>
    <w:rsid w:val="00752937"/>
    <w:rsid w:val="00760A27"/>
    <w:rsid w:val="00777155"/>
    <w:rsid w:val="00780910"/>
    <w:rsid w:val="007968FF"/>
    <w:rsid w:val="0079733A"/>
    <w:rsid w:val="00797B7E"/>
    <w:rsid w:val="007A5770"/>
    <w:rsid w:val="007B1C8B"/>
    <w:rsid w:val="007C0915"/>
    <w:rsid w:val="007C547D"/>
    <w:rsid w:val="007C5B64"/>
    <w:rsid w:val="007C7119"/>
    <w:rsid w:val="007E10D2"/>
    <w:rsid w:val="007E6513"/>
    <w:rsid w:val="007F0CB0"/>
    <w:rsid w:val="00801A58"/>
    <w:rsid w:val="00801E77"/>
    <w:rsid w:val="008031D1"/>
    <w:rsid w:val="00807C15"/>
    <w:rsid w:val="00827C91"/>
    <w:rsid w:val="0083317F"/>
    <w:rsid w:val="008368BA"/>
    <w:rsid w:val="0084178F"/>
    <w:rsid w:val="00853613"/>
    <w:rsid w:val="008707FE"/>
    <w:rsid w:val="00875A8D"/>
    <w:rsid w:val="008763C6"/>
    <w:rsid w:val="00884543"/>
    <w:rsid w:val="00893BD3"/>
    <w:rsid w:val="008A1402"/>
    <w:rsid w:val="008A1A19"/>
    <w:rsid w:val="008B3462"/>
    <w:rsid w:val="008B4216"/>
    <w:rsid w:val="008B5733"/>
    <w:rsid w:val="008B612D"/>
    <w:rsid w:val="008C0ABD"/>
    <w:rsid w:val="008D7D1D"/>
    <w:rsid w:val="008F2D8B"/>
    <w:rsid w:val="008F3012"/>
    <w:rsid w:val="008F6C39"/>
    <w:rsid w:val="009036AC"/>
    <w:rsid w:val="009040E6"/>
    <w:rsid w:val="0091657F"/>
    <w:rsid w:val="00917993"/>
    <w:rsid w:val="00934830"/>
    <w:rsid w:val="009445F7"/>
    <w:rsid w:val="009506CA"/>
    <w:rsid w:val="0097722D"/>
    <w:rsid w:val="00977F2C"/>
    <w:rsid w:val="00983015"/>
    <w:rsid w:val="00985FF9"/>
    <w:rsid w:val="009D173B"/>
    <w:rsid w:val="009D5F4D"/>
    <w:rsid w:val="009E7454"/>
    <w:rsid w:val="009F49C8"/>
    <w:rsid w:val="009F7906"/>
    <w:rsid w:val="00A211A8"/>
    <w:rsid w:val="00A21691"/>
    <w:rsid w:val="00A30876"/>
    <w:rsid w:val="00A33E0A"/>
    <w:rsid w:val="00A34CEF"/>
    <w:rsid w:val="00A41446"/>
    <w:rsid w:val="00A442F9"/>
    <w:rsid w:val="00A513D9"/>
    <w:rsid w:val="00A56C16"/>
    <w:rsid w:val="00A6029F"/>
    <w:rsid w:val="00A65D94"/>
    <w:rsid w:val="00A67DA7"/>
    <w:rsid w:val="00A7213A"/>
    <w:rsid w:val="00A801D6"/>
    <w:rsid w:val="00AB6F36"/>
    <w:rsid w:val="00AC5179"/>
    <w:rsid w:val="00AF180F"/>
    <w:rsid w:val="00B079CB"/>
    <w:rsid w:val="00B161AD"/>
    <w:rsid w:val="00B2552D"/>
    <w:rsid w:val="00B26421"/>
    <w:rsid w:val="00B27BC4"/>
    <w:rsid w:val="00B419A9"/>
    <w:rsid w:val="00B4675F"/>
    <w:rsid w:val="00B53C21"/>
    <w:rsid w:val="00B55CD5"/>
    <w:rsid w:val="00B62B98"/>
    <w:rsid w:val="00B6387A"/>
    <w:rsid w:val="00B9029F"/>
    <w:rsid w:val="00B92421"/>
    <w:rsid w:val="00B93B86"/>
    <w:rsid w:val="00B93E88"/>
    <w:rsid w:val="00BA4D5A"/>
    <w:rsid w:val="00BB2838"/>
    <w:rsid w:val="00BC5202"/>
    <w:rsid w:val="00BD1C2D"/>
    <w:rsid w:val="00BD5569"/>
    <w:rsid w:val="00BE5FDD"/>
    <w:rsid w:val="00BE687B"/>
    <w:rsid w:val="00BF0ECC"/>
    <w:rsid w:val="00C10E10"/>
    <w:rsid w:val="00C12842"/>
    <w:rsid w:val="00C36B91"/>
    <w:rsid w:val="00C427DE"/>
    <w:rsid w:val="00C51BF7"/>
    <w:rsid w:val="00C755C4"/>
    <w:rsid w:val="00C96ADA"/>
    <w:rsid w:val="00CC5F52"/>
    <w:rsid w:val="00CE0F6B"/>
    <w:rsid w:val="00CF6830"/>
    <w:rsid w:val="00D17B2B"/>
    <w:rsid w:val="00D3292A"/>
    <w:rsid w:val="00D41BCF"/>
    <w:rsid w:val="00D622B3"/>
    <w:rsid w:val="00D67A21"/>
    <w:rsid w:val="00D75565"/>
    <w:rsid w:val="00D809B1"/>
    <w:rsid w:val="00DA5736"/>
    <w:rsid w:val="00DB1426"/>
    <w:rsid w:val="00DB4B48"/>
    <w:rsid w:val="00DC7317"/>
    <w:rsid w:val="00DD1C38"/>
    <w:rsid w:val="00DF606D"/>
    <w:rsid w:val="00DF72DD"/>
    <w:rsid w:val="00DF7671"/>
    <w:rsid w:val="00E05B15"/>
    <w:rsid w:val="00E12298"/>
    <w:rsid w:val="00E32F1B"/>
    <w:rsid w:val="00E36DA1"/>
    <w:rsid w:val="00E406E4"/>
    <w:rsid w:val="00E419BD"/>
    <w:rsid w:val="00E45C32"/>
    <w:rsid w:val="00E5409F"/>
    <w:rsid w:val="00E636AD"/>
    <w:rsid w:val="00E658B7"/>
    <w:rsid w:val="00E86716"/>
    <w:rsid w:val="00EA2900"/>
    <w:rsid w:val="00EA5A46"/>
    <w:rsid w:val="00EF74AD"/>
    <w:rsid w:val="00F04E1E"/>
    <w:rsid w:val="00F07EBF"/>
    <w:rsid w:val="00F24D32"/>
    <w:rsid w:val="00F264EB"/>
    <w:rsid w:val="00F319EA"/>
    <w:rsid w:val="00F32115"/>
    <w:rsid w:val="00F56798"/>
    <w:rsid w:val="00F77C41"/>
    <w:rsid w:val="00FA0F25"/>
    <w:rsid w:val="00FB047F"/>
    <w:rsid w:val="00FC0B02"/>
    <w:rsid w:val="00FC64C1"/>
    <w:rsid w:val="00FD4C59"/>
    <w:rsid w:val="00FD6B4C"/>
    <w:rsid w:val="00FE5770"/>
    <w:rsid w:val="00FF049C"/>
    <w:rsid w:val="01141A2F"/>
    <w:rsid w:val="012C5658"/>
    <w:rsid w:val="013667E4"/>
    <w:rsid w:val="0209CAEF"/>
    <w:rsid w:val="02B7D75B"/>
    <w:rsid w:val="02B8F103"/>
    <w:rsid w:val="0324224D"/>
    <w:rsid w:val="03258958"/>
    <w:rsid w:val="0325DB1F"/>
    <w:rsid w:val="039B8260"/>
    <w:rsid w:val="05AA440C"/>
    <w:rsid w:val="05DD7A90"/>
    <w:rsid w:val="05E42EC0"/>
    <w:rsid w:val="0609D907"/>
    <w:rsid w:val="0611C68D"/>
    <w:rsid w:val="0646B324"/>
    <w:rsid w:val="07AD96EE"/>
    <w:rsid w:val="080348E3"/>
    <w:rsid w:val="088043FE"/>
    <w:rsid w:val="0903A1CC"/>
    <w:rsid w:val="0907D2F7"/>
    <w:rsid w:val="092B576A"/>
    <w:rsid w:val="095F1382"/>
    <w:rsid w:val="0ADD4A2A"/>
    <w:rsid w:val="0B6B4EAF"/>
    <w:rsid w:val="0BFDBB8F"/>
    <w:rsid w:val="0C08470A"/>
    <w:rsid w:val="0D405C4A"/>
    <w:rsid w:val="0D41B60F"/>
    <w:rsid w:val="0D95DFB5"/>
    <w:rsid w:val="0E1CD872"/>
    <w:rsid w:val="0E59620A"/>
    <w:rsid w:val="0E83A136"/>
    <w:rsid w:val="0EEBBABE"/>
    <w:rsid w:val="0F40D9B9"/>
    <w:rsid w:val="0F8C749F"/>
    <w:rsid w:val="0FB8A8D3"/>
    <w:rsid w:val="104471F0"/>
    <w:rsid w:val="11496480"/>
    <w:rsid w:val="11547934"/>
    <w:rsid w:val="11C28BD0"/>
    <w:rsid w:val="1213CD6D"/>
    <w:rsid w:val="125253C1"/>
    <w:rsid w:val="12A7F5B7"/>
    <w:rsid w:val="1306B8C4"/>
    <w:rsid w:val="13456AB4"/>
    <w:rsid w:val="13C006F9"/>
    <w:rsid w:val="14265BCF"/>
    <w:rsid w:val="14B56AA5"/>
    <w:rsid w:val="14EAB798"/>
    <w:rsid w:val="150B097B"/>
    <w:rsid w:val="15BCF6F8"/>
    <w:rsid w:val="1705E9F7"/>
    <w:rsid w:val="17C469D7"/>
    <w:rsid w:val="1A04C6D0"/>
    <w:rsid w:val="1B719FDF"/>
    <w:rsid w:val="1BCE088A"/>
    <w:rsid w:val="1D5FC75F"/>
    <w:rsid w:val="1D687E33"/>
    <w:rsid w:val="1DD1AA93"/>
    <w:rsid w:val="1E8ED4C4"/>
    <w:rsid w:val="1EE933E1"/>
    <w:rsid w:val="1EFA9BA1"/>
    <w:rsid w:val="1FE8B86E"/>
    <w:rsid w:val="219912ED"/>
    <w:rsid w:val="221D37BE"/>
    <w:rsid w:val="22577FD4"/>
    <w:rsid w:val="23C2F810"/>
    <w:rsid w:val="243AD028"/>
    <w:rsid w:val="258C84A9"/>
    <w:rsid w:val="263CD1E8"/>
    <w:rsid w:val="263E0E21"/>
    <w:rsid w:val="26DDE489"/>
    <w:rsid w:val="271E39B2"/>
    <w:rsid w:val="273BC527"/>
    <w:rsid w:val="27D6B754"/>
    <w:rsid w:val="27F2E14C"/>
    <w:rsid w:val="28A12041"/>
    <w:rsid w:val="28AC8B92"/>
    <w:rsid w:val="2AFB88AD"/>
    <w:rsid w:val="2B3C1EE6"/>
    <w:rsid w:val="2CCD9E84"/>
    <w:rsid w:val="2CD89E66"/>
    <w:rsid w:val="2D2D7A63"/>
    <w:rsid w:val="2DDBD4D0"/>
    <w:rsid w:val="2DE4B1E1"/>
    <w:rsid w:val="2E473E74"/>
    <w:rsid w:val="2F7EF279"/>
    <w:rsid w:val="2FE0867F"/>
    <w:rsid w:val="3144F35D"/>
    <w:rsid w:val="32F36785"/>
    <w:rsid w:val="330DA2C7"/>
    <w:rsid w:val="3348400A"/>
    <w:rsid w:val="33740D1D"/>
    <w:rsid w:val="343C3354"/>
    <w:rsid w:val="356FC237"/>
    <w:rsid w:val="3592FC20"/>
    <w:rsid w:val="367DA083"/>
    <w:rsid w:val="37B3775E"/>
    <w:rsid w:val="37B57F67"/>
    <w:rsid w:val="3828206F"/>
    <w:rsid w:val="3882E6AF"/>
    <w:rsid w:val="3897782F"/>
    <w:rsid w:val="38B17485"/>
    <w:rsid w:val="3A504AE4"/>
    <w:rsid w:val="3A69ACFB"/>
    <w:rsid w:val="3AF75C28"/>
    <w:rsid w:val="3B3802F0"/>
    <w:rsid w:val="3B6AE0E1"/>
    <w:rsid w:val="3BDF03BB"/>
    <w:rsid w:val="3C55617F"/>
    <w:rsid w:val="3C9DEAA5"/>
    <w:rsid w:val="3CC97F63"/>
    <w:rsid w:val="3CDCD83A"/>
    <w:rsid w:val="3D5F845D"/>
    <w:rsid w:val="3DAB8C86"/>
    <w:rsid w:val="3DEDA437"/>
    <w:rsid w:val="3F1597B8"/>
    <w:rsid w:val="3F16A47D"/>
    <w:rsid w:val="3FBD3A39"/>
    <w:rsid w:val="40D0435F"/>
    <w:rsid w:val="424DE75F"/>
    <w:rsid w:val="4265D54C"/>
    <w:rsid w:val="42AE23EA"/>
    <w:rsid w:val="43EA15A0"/>
    <w:rsid w:val="443D5A7D"/>
    <w:rsid w:val="4494DF87"/>
    <w:rsid w:val="44D49148"/>
    <w:rsid w:val="450A1850"/>
    <w:rsid w:val="4682AFE8"/>
    <w:rsid w:val="479E2737"/>
    <w:rsid w:val="47E9B826"/>
    <w:rsid w:val="4806232C"/>
    <w:rsid w:val="4838B33E"/>
    <w:rsid w:val="483EDBCC"/>
    <w:rsid w:val="48C46FB3"/>
    <w:rsid w:val="4AA7DFCE"/>
    <w:rsid w:val="4BD9F2C8"/>
    <w:rsid w:val="4C60FE13"/>
    <w:rsid w:val="4C73A1A2"/>
    <w:rsid w:val="4CA12FC5"/>
    <w:rsid w:val="4CD13858"/>
    <w:rsid w:val="4D76C2C4"/>
    <w:rsid w:val="4D97E244"/>
    <w:rsid w:val="4DEA9544"/>
    <w:rsid w:val="4EEDD498"/>
    <w:rsid w:val="4FB28722"/>
    <w:rsid w:val="500762DD"/>
    <w:rsid w:val="50B4491C"/>
    <w:rsid w:val="520AE445"/>
    <w:rsid w:val="5235D015"/>
    <w:rsid w:val="52C8C456"/>
    <w:rsid w:val="53FC4483"/>
    <w:rsid w:val="5498516F"/>
    <w:rsid w:val="54FE0DE9"/>
    <w:rsid w:val="56B27A20"/>
    <w:rsid w:val="56DE5568"/>
    <w:rsid w:val="57612009"/>
    <w:rsid w:val="5862F642"/>
    <w:rsid w:val="58A24372"/>
    <w:rsid w:val="59DEA8C5"/>
    <w:rsid w:val="59E44BF3"/>
    <w:rsid w:val="59E82668"/>
    <w:rsid w:val="5A59B03C"/>
    <w:rsid w:val="5B173A62"/>
    <w:rsid w:val="5B5C1496"/>
    <w:rsid w:val="5C052C57"/>
    <w:rsid w:val="5C5B25A3"/>
    <w:rsid w:val="5D046058"/>
    <w:rsid w:val="5D499650"/>
    <w:rsid w:val="5E7918FC"/>
    <w:rsid w:val="5E978BA5"/>
    <w:rsid w:val="5F470FE6"/>
    <w:rsid w:val="5F8319C4"/>
    <w:rsid w:val="6068CED2"/>
    <w:rsid w:val="612D6046"/>
    <w:rsid w:val="6196DE34"/>
    <w:rsid w:val="628AB16C"/>
    <w:rsid w:val="63642A8C"/>
    <w:rsid w:val="6498037D"/>
    <w:rsid w:val="64C96453"/>
    <w:rsid w:val="654A95DB"/>
    <w:rsid w:val="654F1BE4"/>
    <w:rsid w:val="65A41E9A"/>
    <w:rsid w:val="65A42A95"/>
    <w:rsid w:val="6607A081"/>
    <w:rsid w:val="661A5000"/>
    <w:rsid w:val="663B73AC"/>
    <w:rsid w:val="664A703F"/>
    <w:rsid w:val="66951564"/>
    <w:rsid w:val="66CBED11"/>
    <w:rsid w:val="677F8EFF"/>
    <w:rsid w:val="68273CAA"/>
    <w:rsid w:val="682D2212"/>
    <w:rsid w:val="682E8AFD"/>
    <w:rsid w:val="68428EC9"/>
    <w:rsid w:val="6859D84D"/>
    <w:rsid w:val="6943DD51"/>
    <w:rsid w:val="6BB33DD8"/>
    <w:rsid w:val="6C4D01F5"/>
    <w:rsid w:val="6C84533E"/>
    <w:rsid w:val="6DC9BAC1"/>
    <w:rsid w:val="6E7F0F73"/>
    <w:rsid w:val="6E943B6F"/>
    <w:rsid w:val="6F717887"/>
    <w:rsid w:val="7141CCEB"/>
    <w:rsid w:val="714981EE"/>
    <w:rsid w:val="716EFABA"/>
    <w:rsid w:val="71A316BC"/>
    <w:rsid w:val="71EEF865"/>
    <w:rsid w:val="72B9E7BF"/>
    <w:rsid w:val="738AC8C6"/>
    <w:rsid w:val="76131F6F"/>
    <w:rsid w:val="76585C8F"/>
    <w:rsid w:val="76AB05FA"/>
    <w:rsid w:val="77C3674D"/>
    <w:rsid w:val="788D602A"/>
    <w:rsid w:val="795C2FE3"/>
    <w:rsid w:val="79C1DBA5"/>
    <w:rsid w:val="79D117AB"/>
    <w:rsid w:val="79FA0A4A"/>
    <w:rsid w:val="7A046775"/>
    <w:rsid w:val="7A8C362C"/>
    <w:rsid w:val="7A9FB883"/>
    <w:rsid w:val="7CEF3566"/>
    <w:rsid w:val="7CF16B94"/>
    <w:rsid w:val="7D79446C"/>
    <w:rsid w:val="7DF0C6BE"/>
    <w:rsid w:val="7DFEC721"/>
    <w:rsid w:val="7E347DF3"/>
    <w:rsid w:val="7E935E22"/>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styleId="Revision">
    <w:name w:val="Revision"/>
    <w:hidden/>
    <w:uiPriority w:val="99"/>
    <w:semiHidden/>
    <w:rsid w:val="00A211A8"/>
    <w:pPr>
      <w:spacing w:after="0" w:line="240" w:lineRule="auto"/>
    </w:pPr>
  </w:style>
  <w:style w:type="character" w:styleId="PageNumber">
    <w:name w:val="page number"/>
    <w:basedOn w:val="DefaultParagraphFont"/>
    <w:uiPriority w:val="99"/>
    <w:semiHidden/>
    <w:unhideWhenUsed/>
    <w:rsid w:val="009E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901">
      <w:bodyDiv w:val="1"/>
      <w:marLeft w:val="0"/>
      <w:marRight w:val="0"/>
      <w:marTop w:val="0"/>
      <w:marBottom w:val="0"/>
      <w:divBdr>
        <w:top w:val="none" w:sz="0" w:space="0" w:color="auto"/>
        <w:left w:val="none" w:sz="0" w:space="0" w:color="auto"/>
        <w:bottom w:val="none" w:sz="0" w:space="0" w:color="auto"/>
        <w:right w:val="none" w:sz="0" w:space="0" w:color="auto"/>
      </w:divBdr>
    </w:div>
    <w:div w:id="53894080">
      <w:bodyDiv w:val="1"/>
      <w:marLeft w:val="0"/>
      <w:marRight w:val="0"/>
      <w:marTop w:val="0"/>
      <w:marBottom w:val="0"/>
      <w:divBdr>
        <w:top w:val="none" w:sz="0" w:space="0" w:color="auto"/>
        <w:left w:val="none" w:sz="0" w:space="0" w:color="auto"/>
        <w:bottom w:val="none" w:sz="0" w:space="0" w:color="auto"/>
        <w:right w:val="none" w:sz="0" w:space="0" w:color="auto"/>
      </w:divBdr>
    </w:div>
    <w:div w:id="143939256">
      <w:bodyDiv w:val="1"/>
      <w:marLeft w:val="0"/>
      <w:marRight w:val="0"/>
      <w:marTop w:val="0"/>
      <w:marBottom w:val="0"/>
      <w:divBdr>
        <w:top w:val="none" w:sz="0" w:space="0" w:color="auto"/>
        <w:left w:val="none" w:sz="0" w:space="0" w:color="auto"/>
        <w:bottom w:val="none" w:sz="0" w:space="0" w:color="auto"/>
        <w:right w:val="none" w:sz="0" w:space="0" w:color="auto"/>
      </w:divBdr>
    </w:div>
    <w:div w:id="395975871">
      <w:bodyDiv w:val="1"/>
      <w:marLeft w:val="0"/>
      <w:marRight w:val="0"/>
      <w:marTop w:val="0"/>
      <w:marBottom w:val="0"/>
      <w:divBdr>
        <w:top w:val="none" w:sz="0" w:space="0" w:color="auto"/>
        <w:left w:val="none" w:sz="0" w:space="0" w:color="auto"/>
        <w:bottom w:val="none" w:sz="0" w:space="0" w:color="auto"/>
        <w:right w:val="none" w:sz="0" w:space="0" w:color="auto"/>
      </w:divBdr>
    </w:div>
    <w:div w:id="475757039">
      <w:bodyDiv w:val="1"/>
      <w:marLeft w:val="0"/>
      <w:marRight w:val="0"/>
      <w:marTop w:val="0"/>
      <w:marBottom w:val="0"/>
      <w:divBdr>
        <w:top w:val="none" w:sz="0" w:space="0" w:color="auto"/>
        <w:left w:val="none" w:sz="0" w:space="0" w:color="auto"/>
        <w:bottom w:val="none" w:sz="0" w:space="0" w:color="auto"/>
        <w:right w:val="none" w:sz="0" w:space="0" w:color="auto"/>
      </w:divBdr>
    </w:div>
    <w:div w:id="563370393">
      <w:bodyDiv w:val="1"/>
      <w:marLeft w:val="0"/>
      <w:marRight w:val="0"/>
      <w:marTop w:val="0"/>
      <w:marBottom w:val="0"/>
      <w:divBdr>
        <w:top w:val="none" w:sz="0" w:space="0" w:color="auto"/>
        <w:left w:val="none" w:sz="0" w:space="0" w:color="auto"/>
        <w:bottom w:val="none" w:sz="0" w:space="0" w:color="auto"/>
        <w:right w:val="none" w:sz="0" w:space="0" w:color="auto"/>
      </w:divBdr>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858811357">
      <w:bodyDiv w:val="1"/>
      <w:marLeft w:val="0"/>
      <w:marRight w:val="0"/>
      <w:marTop w:val="0"/>
      <w:marBottom w:val="0"/>
      <w:divBdr>
        <w:top w:val="none" w:sz="0" w:space="0" w:color="auto"/>
        <w:left w:val="none" w:sz="0" w:space="0" w:color="auto"/>
        <w:bottom w:val="none" w:sz="0" w:space="0" w:color="auto"/>
        <w:right w:val="none" w:sz="0" w:space="0" w:color="auto"/>
      </w:divBdr>
    </w:div>
    <w:div w:id="885682691">
      <w:bodyDiv w:val="1"/>
      <w:marLeft w:val="0"/>
      <w:marRight w:val="0"/>
      <w:marTop w:val="0"/>
      <w:marBottom w:val="0"/>
      <w:divBdr>
        <w:top w:val="none" w:sz="0" w:space="0" w:color="auto"/>
        <w:left w:val="none" w:sz="0" w:space="0" w:color="auto"/>
        <w:bottom w:val="none" w:sz="0" w:space="0" w:color="auto"/>
        <w:right w:val="none" w:sz="0" w:space="0" w:color="auto"/>
      </w:divBdr>
    </w:div>
    <w:div w:id="891574305">
      <w:bodyDiv w:val="1"/>
      <w:marLeft w:val="0"/>
      <w:marRight w:val="0"/>
      <w:marTop w:val="0"/>
      <w:marBottom w:val="0"/>
      <w:divBdr>
        <w:top w:val="none" w:sz="0" w:space="0" w:color="auto"/>
        <w:left w:val="none" w:sz="0" w:space="0" w:color="auto"/>
        <w:bottom w:val="none" w:sz="0" w:space="0" w:color="auto"/>
        <w:right w:val="none" w:sz="0" w:space="0" w:color="auto"/>
      </w:divBdr>
    </w:div>
    <w:div w:id="921453621">
      <w:bodyDiv w:val="1"/>
      <w:marLeft w:val="0"/>
      <w:marRight w:val="0"/>
      <w:marTop w:val="0"/>
      <w:marBottom w:val="0"/>
      <w:divBdr>
        <w:top w:val="none" w:sz="0" w:space="0" w:color="auto"/>
        <w:left w:val="none" w:sz="0" w:space="0" w:color="auto"/>
        <w:bottom w:val="none" w:sz="0" w:space="0" w:color="auto"/>
        <w:right w:val="none" w:sz="0" w:space="0" w:color="auto"/>
      </w:divBdr>
    </w:div>
    <w:div w:id="955020185">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859007763">
      <w:bodyDiv w:val="1"/>
      <w:marLeft w:val="0"/>
      <w:marRight w:val="0"/>
      <w:marTop w:val="0"/>
      <w:marBottom w:val="0"/>
      <w:divBdr>
        <w:top w:val="none" w:sz="0" w:space="0" w:color="auto"/>
        <w:left w:val="none" w:sz="0" w:space="0" w:color="auto"/>
        <w:bottom w:val="none" w:sz="0" w:space="0" w:color="auto"/>
        <w:right w:val="none" w:sz="0" w:space="0" w:color="auto"/>
      </w:divBdr>
    </w:div>
    <w:div w:id="2047441753">
      <w:bodyDiv w:val="1"/>
      <w:marLeft w:val="0"/>
      <w:marRight w:val="0"/>
      <w:marTop w:val="0"/>
      <w:marBottom w:val="0"/>
      <w:divBdr>
        <w:top w:val="none" w:sz="0" w:space="0" w:color="auto"/>
        <w:left w:val="none" w:sz="0" w:space="0" w:color="auto"/>
        <w:bottom w:val="none" w:sz="0" w:space="0" w:color="auto"/>
        <w:right w:val="none" w:sz="0" w:space="0" w:color="auto"/>
      </w:divBdr>
    </w:div>
    <w:div w:id="21155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ynoothuniversity.sharepoint.com/:i:/s/MUVirtualOrientation-Internal/EYckpm-1hbZBo-vCtrFi8bsB4ZLZxUcO-6j-pbtpEjyRzA?e=OLBc7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ynoothuniversity.sharepoint.com/:i:/s/MUVirtualOrientation-Internal/EUkeLlkDyKxHqHMYYJ6By-kBZ3qdRP_VYnL0TlfSzMsJLg?e=EgzI42" TargetMode="External"/><Relationship Id="rId17" Type="http://schemas.openxmlformats.org/officeDocument/2006/relationships/hyperlink" Target="https://maynoothuniversity.sharepoint.com/:i:/s/MUVirtualOrientation-Internal/EbRdODmOHFhCtmd3_qUv8lEBz04Nwq-br-wFaOYooxRclg?e=7hYOHs" TargetMode="External"/><Relationship Id="rId2" Type="http://schemas.openxmlformats.org/officeDocument/2006/relationships/customXml" Target="../customXml/item2.xml"/><Relationship Id="rId16" Type="http://schemas.openxmlformats.org/officeDocument/2006/relationships/hyperlink" Target="https://maynoothuniversity.sharepoint.com/:i:/s/MUVirtualOrientation-Internal/EXz30vixQY9HsJ8jRiqf5CoBrN2XF1cpldqL7EdDZb1HFQ?e=m0ygS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ynoothuniversity.sharepoint.com/:i:/s/MUVirtualOrientation-Internal/Edw6Oc8HlbpPgqhvYs2PSCsBP0Cj-qVlvgUwDFE1svZ8Kg?e=cOG20n" TargetMode="External"/><Relationship Id="rId5" Type="http://schemas.openxmlformats.org/officeDocument/2006/relationships/numbering" Target="numbering.xml"/><Relationship Id="rId15" Type="http://schemas.openxmlformats.org/officeDocument/2006/relationships/hyperlink" Target="https://maynoothuniversity.sharepoint.com/:i:/s/MUVirtualOrientation-Internal/EVDBubh-KCJJufP3ZpGpNwoBqMTKYXTvC37vgA9FXwrZng?e=NTxVTW"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ynoothuniversity.sharepoint.com/:i:/s/MUVirtualOrientation-Internal/EZpiGm6Fn-BOhI8AeQ7JODgBDMHh6T9MYXRW0zwm5DOGfg?e=d939E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2.xml><?xml version="1.0" encoding="utf-8"?>
<ds:datastoreItem xmlns:ds="http://schemas.openxmlformats.org/officeDocument/2006/customXml" ds:itemID="{9B50F2E4-C2EB-44AC-886E-72F53FE2E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4.xml><?xml version="1.0" encoding="utf-8"?>
<ds:datastoreItem xmlns:ds="http://schemas.openxmlformats.org/officeDocument/2006/customXml" ds:itemID="{9A2DDF91-7E39-4917-A975-2E9833EF6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1821</Words>
  <Characters>10382</Characters>
  <Application>Microsoft Office Word</Application>
  <DocSecurity>12</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Links>
    <vt:vector size="48" baseType="variant">
      <vt:variant>
        <vt:i4>5374006</vt:i4>
      </vt:variant>
      <vt:variant>
        <vt:i4>21</vt:i4>
      </vt:variant>
      <vt:variant>
        <vt:i4>0</vt:i4>
      </vt:variant>
      <vt:variant>
        <vt:i4>5</vt:i4>
      </vt:variant>
      <vt:variant>
        <vt:lpwstr>https://maynoothuniversity.sharepoint.com/:i:/s/MUVirtualOrientation-Internal/EbRdODmOHFhCtmd3_qUv8lEBz04Nwq-br-wFaOYooxRclg?e=7hYOHs</vt:lpwstr>
      </vt:variant>
      <vt:variant>
        <vt:lpwstr/>
      </vt:variant>
      <vt:variant>
        <vt:i4>4784214</vt:i4>
      </vt:variant>
      <vt:variant>
        <vt:i4>18</vt:i4>
      </vt:variant>
      <vt:variant>
        <vt:i4>0</vt:i4>
      </vt:variant>
      <vt:variant>
        <vt:i4>5</vt:i4>
      </vt:variant>
      <vt:variant>
        <vt:lpwstr>https://maynoothuniversity.sharepoint.com/:i:/s/MUVirtualOrientation-Internal/EXz30vixQY9HsJ8jRiqf5CoBrN2XF1cpldqL7EdDZb1HFQ?e=m0ygS7</vt:lpwstr>
      </vt:variant>
      <vt:variant>
        <vt:lpwstr/>
      </vt:variant>
      <vt:variant>
        <vt:i4>65627</vt:i4>
      </vt:variant>
      <vt:variant>
        <vt:i4>15</vt:i4>
      </vt:variant>
      <vt:variant>
        <vt:i4>0</vt:i4>
      </vt:variant>
      <vt:variant>
        <vt:i4>5</vt:i4>
      </vt:variant>
      <vt:variant>
        <vt:lpwstr>https://maynoothuniversity.sharepoint.com/:i:/s/MUVirtualOrientation-Internal/EVDBubh-KCJJufP3ZpGpNwoBqMTKYXTvC37vgA9FXwrZng?e=NTxVTW</vt:lpwstr>
      </vt:variant>
      <vt:variant>
        <vt:lpwstr/>
      </vt:variant>
      <vt:variant>
        <vt:i4>4980746</vt:i4>
      </vt:variant>
      <vt:variant>
        <vt:i4>12</vt:i4>
      </vt:variant>
      <vt:variant>
        <vt:i4>0</vt:i4>
      </vt:variant>
      <vt:variant>
        <vt:i4>5</vt:i4>
      </vt:variant>
      <vt:variant>
        <vt:lpwstr>https://maynoothuniversity.sharepoint.com/:i:/s/MUVirtualOrientation-Internal/EZpiGm6Fn-BOhI8AeQ7JODgBDMHh6T9MYXRW0zwm5DOGfg?e=d939Ea</vt:lpwstr>
      </vt:variant>
      <vt:variant>
        <vt:lpwstr/>
      </vt:variant>
      <vt:variant>
        <vt:i4>1704027</vt:i4>
      </vt:variant>
      <vt:variant>
        <vt:i4>9</vt:i4>
      </vt:variant>
      <vt:variant>
        <vt:i4>0</vt:i4>
      </vt:variant>
      <vt:variant>
        <vt:i4>5</vt:i4>
      </vt:variant>
      <vt:variant>
        <vt:lpwstr>https://maynoothuniversity.sharepoint.com/:i:/s/MUVirtualOrientation-Internal/EYckpm-1hbZBo-vCtrFi8bsB4ZLZxUcO-6j-pbtpEjyRzA?e=OLBc7u</vt:lpwstr>
      </vt:variant>
      <vt:variant>
        <vt:lpwstr/>
      </vt:variant>
      <vt:variant>
        <vt:i4>4653112</vt:i4>
      </vt:variant>
      <vt:variant>
        <vt:i4>6</vt:i4>
      </vt:variant>
      <vt:variant>
        <vt:i4>0</vt:i4>
      </vt:variant>
      <vt:variant>
        <vt:i4>5</vt:i4>
      </vt:variant>
      <vt:variant>
        <vt:lpwstr>https://maynoothuniversity.sharepoint.com/:i:/s/MUVirtualOrientation-Internal/EUkeLlkDyKxHqHMYYJ6By-kBZ3qdRP_VYnL0TlfSzMsJLg?e=EgzI42</vt:lpwstr>
      </vt:variant>
      <vt:variant>
        <vt:lpwstr/>
      </vt:variant>
      <vt:variant>
        <vt:i4>131155</vt:i4>
      </vt:variant>
      <vt:variant>
        <vt:i4>3</vt:i4>
      </vt:variant>
      <vt:variant>
        <vt:i4>0</vt:i4>
      </vt:variant>
      <vt:variant>
        <vt:i4>5</vt:i4>
      </vt:variant>
      <vt:variant>
        <vt:lpwstr>https://maynoothuniversity.sharepoint.com/:i:/s/MUVirtualOrientation-Internal/Edw6Oc8HlbpPgqhvYs2PSCsBP0Cj-qVlvgUwDFE1svZ8Kg?e=cOG20n</vt:lpwstr>
      </vt:variant>
      <vt:variant>
        <vt:lpwstr/>
      </vt:variant>
      <vt:variant>
        <vt:i4>6684738</vt:i4>
      </vt:variant>
      <vt:variant>
        <vt:i4>0</vt:i4>
      </vt:variant>
      <vt:variant>
        <vt:i4>0</vt:i4>
      </vt:variant>
      <vt:variant>
        <vt:i4>5</vt:i4>
      </vt:variant>
      <vt:variant>
        <vt:lpwstr>mailto:admin@teachingandlearning.ie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5</cp:revision>
  <dcterms:created xsi:type="dcterms:W3CDTF">2024-11-18T16:55:00Z</dcterms:created>
  <dcterms:modified xsi:type="dcterms:W3CDTF">2024-12-08T19:33:00Z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7a16d9c3d801bb2af58580ee0a3f8c39996d8e4cf570f18ca09239674a65f3c9</vt:lpwstr>
  </property>
  <property fmtid="{D5CDD505-2E9C-101B-9397-08002B2CF9AE}" pid="4" name="Order">
    <vt:r8>43100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ContentTypeId">
    <vt:lpwstr>0x010100DA942FEB19533A46AF6DE838EEB5D3A1</vt:lpwstr>
  </property>
</Properties>
</file>