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F2F72" w14:textId="77777777" w:rsidR="00801E77" w:rsidRPr="00430640" w:rsidRDefault="00801E77" w:rsidP="00430640">
      <w:pPr>
        <w:jc w:val="both"/>
        <w:rPr>
          <w:rFonts w:eastAsia="Calibri" w:cstheme="minorHAnsi"/>
          <w:lang w:val="en-GB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7087"/>
      </w:tblGrid>
      <w:tr w:rsidR="4D76C2C4" w:rsidRPr="00FD5B96" w14:paraId="484705F3" w14:textId="77777777" w:rsidTr="791A740F">
        <w:trPr>
          <w:trHeight w:val="300"/>
        </w:trPr>
        <w:tc>
          <w:tcPr>
            <w:tcW w:w="9776" w:type="dxa"/>
            <w:gridSpan w:val="2"/>
            <w:shd w:val="clear" w:color="auto" w:fill="4472C4" w:themeFill="accent1"/>
            <w:tcMar>
              <w:left w:w="105" w:type="dxa"/>
              <w:right w:w="105" w:type="dxa"/>
            </w:tcMar>
          </w:tcPr>
          <w:p w14:paraId="4105C87E" w14:textId="32A51A67" w:rsidR="3C9DEAA5" w:rsidRPr="00FD5B96" w:rsidRDefault="00B079CB" w:rsidP="4D76C2C4">
            <w:pPr>
              <w:spacing w:before="80" w:after="80" w:line="259" w:lineRule="auto"/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 w:rsidRPr="00FD5B96"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  <w:lang w:val="en-IE"/>
              </w:rPr>
              <w:t>TEACHING AND LEARNING</w:t>
            </w:r>
            <w:r w:rsidR="3C9DEAA5" w:rsidRPr="00FD5B96"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="1E8ED4C4" w:rsidRPr="00FD5B96"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  <w:lang w:val="en-IE"/>
              </w:rPr>
              <w:t>ASE</w:t>
            </w:r>
            <w:r w:rsidR="3C9DEAA5" w:rsidRPr="00FD5B96"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S</w:t>
            </w:r>
            <w:r w:rsidR="007250F6" w:rsidRPr="00FD5B96"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  <w:lang w:val="en-IE"/>
              </w:rPr>
              <w:t>TUDY</w:t>
            </w:r>
          </w:p>
        </w:tc>
      </w:tr>
      <w:tr w:rsidR="4D76C2C4" w:rsidRPr="00FD5B96" w14:paraId="1489F7DC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8B93714" w14:textId="5B6F1B03" w:rsidR="4D76C2C4" w:rsidRPr="00FD5B96" w:rsidRDefault="4D76C2C4" w:rsidP="4D76C2C4">
            <w:pPr>
              <w:spacing w:before="80" w:after="80" w:line="259" w:lineRule="auto"/>
              <w:rPr>
                <w:rFonts w:eastAsiaTheme="minorEastAsia" w:cstheme="minorHAnsi"/>
                <w:color w:val="000000" w:themeColor="text1"/>
              </w:rPr>
            </w:pPr>
            <w:r w:rsidRPr="00FD5B96">
              <w:rPr>
                <w:rFonts w:eastAsiaTheme="minorEastAsia" w:cstheme="minorHAnsi"/>
                <w:b/>
                <w:bCs/>
                <w:color w:val="000000" w:themeColor="text1"/>
                <w:lang w:val="en-IE"/>
              </w:rPr>
              <w:t xml:space="preserve">Name of </w:t>
            </w:r>
            <w:r w:rsidR="039B8260" w:rsidRPr="00FD5B96">
              <w:rPr>
                <w:rFonts w:eastAsiaTheme="minorEastAsia" w:cstheme="minorHAnsi"/>
                <w:b/>
                <w:bCs/>
                <w:color w:val="000000" w:themeColor="text1"/>
                <w:lang w:val="en-IE"/>
              </w:rPr>
              <w:t>In</w:t>
            </w:r>
            <w:r w:rsidRPr="00FD5B96">
              <w:rPr>
                <w:rFonts w:eastAsiaTheme="minorEastAsia" w:cstheme="minorHAnsi"/>
                <w:b/>
                <w:bCs/>
                <w:color w:val="000000" w:themeColor="text1"/>
                <w:lang w:val="en-IE"/>
              </w:rPr>
              <w:t>stitution</w:t>
            </w:r>
            <w:r w:rsidR="00630B93" w:rsidRPr="00FD5B96">
              <w:rPr>
                <w:rFonts w:eastAsiaTheme="minorEastAsia" w:cstheme="minorHAnsi"/>
                <w:b/>
                <w:bCs/>
                <w:color w:val="000000" w:themeColor="text1"/>
                <w:lang w:val="en-IE"/>
              </w:rPr>
              <w:t>/ Organisation</w:t>
            </w:r>
          </w:p>
          <w:p w14:paraId="45AE1DF4" w14:textId="551A7EC3" w:rsidR="4D76C2C4" w:rsidRPr="00FD5B96" w:rsidRDefault="4D76C2C4" w:rsidP="4D76C2C4">
            <w:pPr>
              <w:spacing w:before="80" w:after="80" w:line="259" w:lineRule="auto"/>
              <w:rPr>
                <w:rFonts w:eastAsiaTheme="minorEastAsia" w:cstheme="minorHAnsi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138AF1B" w14:textId="42209F5E" w:rsidR="4D76C2C4" w:rsidRPr="00FD5B96" w:rsidRDefault="008061AC" w:rsidP="4D76C2C4">
            <w:pPr>
              <w:spacing w:before="80" w:after="80" w:line="259" w:lineRule="auto"/>
              <w:rPr>
                <w:rFonts w:eastAsiaTheme="minorEastAsia" w:cstheme="minorHAnsi"/>
                <w:color w:val="000000" w:themeColor="text1"/>
                <w:lang w:val="en-IE"/>
              </w:rPr>
            </w:pPr>
            <w:r w:rsidRPr="00FD5B96">
              <w:rPr>
                <w:rFonts w:eastAsiaTheme="minorEastAsia" w:cstheme="minorHAnsi"/>
                <w:color w:val="000000" w:themeColor="text1"/>
                <w:lang w:val="en-IE"/>
              </w:rPr>
              <w:t xml:space="preserve">Maynooth University </w:t>
            </w:r>
          </w:p>
        </w:tc>
      </w:tr>
      <w:tr w:rsidR="006A77B1" w:rsidRPr="00FD5B96" w14:paraId="2DF1E18A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BB4D9A8" w14:textId="1E805B67" w:rsidR="006A77B1" w:rsidRPr="00FD5B96" w:rsidRDefault="00D67A21" w:rsidP="4D76C2C4">
            <w:pPr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 xml:space="preserve">Who </w:t>
            </w:r>
            <w:r w:rsidR="008B3462" w:rsidRPr="00FD5B96">
              <w:rPr>
                <w:rFonts w:eastAsiaTheme="minorEastAsia" w:cstheme="minorHAnsi"/>
                <w:b/>
                <w:bCs/>
              </w:rPr>
              <w:t>l</w:t>
            </w:r>
            <w:r w:rsidRPr="00FD5B96">
              <w:rPr>
                <w:rFonts w:eastAsiaTheme="minorEastAsia" w:cstheme="minorHAnsi"/>
                <w:b/>
                <w:bCs/>
              </w:rPr>
              <w:t xml:space="preserve">ed the </w:t>
            </w:r>
            <w:r w:rsidR="008B3462" w:rsidRPr="00FD5B96">
              <w:rPr>
                <w:rFonts w:eastAsiaTheme="minorEastAsia" w:cstheme="minorHAnsi"/>
                <w:b/>
                <w:bCs/>
              </w:rPr>
              <w:t>initiative</w:t>
            </w:r>
            <w:r w:rsidR="00642159" w:rsidRPr="00FD5B96">
              <w:rPr>
                <w:rFonts w:eastAsiaTheme="minorEastAsia" w:cstheme="minorHAnsi"/>
                <w:b/>
                <w:bCs/>
              </w:rPr>
              <w:t>?</w:t>
            </w:r>
          </w:p>
          <w:p w14:paraId="1F1FD1C8" w14:textId="67329CC3" w:rsidR="006A77B1" w:rsidRPr="00FD5B96" w:rsidRDefault="006A77B1" w:rsidP="4D76C2C4">
            <w:pPr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2936A09" w14:textId="77777777" w:rsidR="0019761B" w:rsidRPr="00FD5B96" w:rsidRDefault="008061AC" w:rsidP="4D76C2C4">
            <w:pPr>
              <w:spacing w:before="80" w:after="80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Centre for Teaching and Learning</w:t>
            </w:r>
          </w:p>
          <w:p w14:paraId="22BFAA38" w14:textId="5382D5D4" w:rsidR="008061AC" w:rsidRPr="00FD5B96" w:rsidRDefault="008061AC" w:rsidP="4D76C2C4">
            <w:pPr>
              <w:spacing w:before="80" w:after="80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Faculty UDL Teaching and Learning Fellows</w:t>
            </w:r>
          </w:p>
        </w:tc>
      </w:tr>
      <w:tr w:rsidR="00CC5F52" w:rsidRPr="00FD5B96" w14:paraId="665536E7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76F0C221" w14:textId="77777777" w:rsidR="00CC5F52" w:rsidRPr="00FD5B96" w:rsidRDefault="0079733A" w:rsidP="4D76C2C4">
            <w:pPr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>Date and timeframe</w:t>
            </w:r>
            <w:r w:rsidR="00827C91" w:rsidRPr="00FD5B96">
              <w:rPr>
                <w:rFonts w:eastAsiaTheme="minorEastAsia" w:cstheme="minorHAnsi"/>
                <w:b/>
                <w:bCs/>
              </w:rPr>
              <w:t xml:space="preserve"> of the initiative</w:t>
            </w:r>
          </w:p>
          <w:p w14:paraId="3F360BC1" w14:textId="0D5457F7" w:rsidR="0054371E" w:rsidRPr="00FD5B96" w:rsidRDefault="0054371E" w:rsidP="4D76C2C4">
            <w:pPr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76DB213" w14:textId="7E329CF5" w:rsidR="0079733A" w:rsidRPr="00FD5B96" w:rsidRDefault="008061AC" w:rsidP="4D76C2C4">
            <w:pPr>
              <w:spacing w:before="80" w:after="80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A</w:t>
            </w:r>
            <w:r w:rsidR="005163E2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cademic year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s</w:t>
            </w:r>
            <w:r w:rsidR="005163E2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20</w:t>
            </w:r>
            <w:r w:rsidR="00503554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2</w:t>
            </w:r>
            <w:r w:rsidR="00242D7F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3</w:t>
            </w:r>
            <w:r w:rsidR="00503554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– 202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5</w:t>
            </w:r>
            <w:r w:rsidR="00503554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(Phases 1 and 2 of </w:t>
            </w:r>
            <w:r w:rsidR="00973365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I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nitiative) </w:t>
            </w:r>
          </w:p>
        </w:tc>
      </w:tr>
      <w:tr w:rsidR="0019761B" w:rsidRPr="00FD5B96" w14:paraId="5704C779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24621DE9" w14:textId="44B91232" w:rsidR="0019761B" w:rsidRPr="00FD5B96" w:rsidRDefault="0019761B" w:rsidP="4D76C2C4">
            <w:pPr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 xml:space="preserve">What was the reach of the </w:t>
            </w:r>
            <w:r w:rsidR="00117183" w:rsidRPr="00FD5B96">
              <w:rPr>
                <w:rFonts w:eastAsiaTheme="minorEastAsia" w:cstheme="minorHAnsi"/>
                <w:b/>
                <w:bCs/>
              </w:rPr>
              <w:t>initiative?</w:t>
            </w:r>
            <w:r w:rsidRPr="00FD5B96">
              <w:rPr>
                <w:rFonts w:eastAsiaTheme="minorEastAsia" w:cstheme="minorHAnsi"/>
                <w:b/>
                <w:bCs/>
              </w:rPr>
              <w:t xml:space="preserve"> </w:t>
            </w:r>
          </w:p>
          <w:p w14:paraId="34AEE1FC" w14:textId="54A3A0F1" w:rsidR="00117183" w:rsidRPr="00FD5B96" w:rsidRDefault="00117183" w:rsidP="4D76C2C4">
            <w:pPr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3B10F3EE" w14:textId="77777777" w:rsidR="008061AC" w:rsidRPr="00FD5B96" w:rsidRDefault="008061AC" w:rsidP="00FD5B96">
            <w:pPr>
              <w:rPr>
                <w:rFonts w:cstheme="minorHAnsi"/>
                <w:color w:val="000000"/>
              </w:rPr>
            </w:pPr>
            <w:r w:rsidRPr="00FD5B96">
              <w:rPr>
                <w:rFonts w:cstheme="minorHAnsi"/>
                <w:color w:val="000000"/>
              </w:rPr>
              <w:t>12 Plus One Guides</w:t>
            </w:r>
          </w:p>
          <w:p w14:paraId="146ACE3A" w14:textId="77777777" w:rsidR="008061AC" w:rsidRPr="00FD5B96" w:rsidRDefault="008061AC" w:rsidP="00FD5B96">
            <w:pPr>
              <w:rPr>
                <w:rFonts w:cstheme="minorHAnsi"/>
                <w:color w:val="000000"/>
              </w:rPr>
            </w:pPr>
            <w:r w:rsidRPr="00FD5B96">
              <w:rPr>
                <w:rFonts w:cstheme="minorHAnsi"/>
                <w:color w:val="000000"/>
              </w:rPr>
              <w:t>6 Universal Design for Learning Open Education Resources</w:t>
            </w:r>
          </w:p>
          <w:p w14:paraId="60763599" w14:textId="74A062B1" w:rsidR="008061AC" w:rsidRPr="00FD5B96" w:rsidRDefault="008061AC" w:rsidP="00FD5B96">
            <w:pPr>
              <w:rPr>
                <w:rFonts w:cstheme="minorHAnsi"/>
                <w:color w:val="000000"/>
              </w:rPr>
            </w:pPr>
            <w:r w:rsidRPr="00FD5B96">
              <w:rPr>
                <w:rFonts w:cstheme="minorHAnsi"/>
                <w:color w:val="000000" w:themeColor="text1"/>
              </w:rPr>
              <w:t xml:space="preserve">6 Staff </w:t>
            </w:r>
            <w:r w:rsidR="00AD1ECC" w:rsidRPr="00FD5B96">
              <w:rPr>
                <w:rFonts w:cstheme="minorHAnsi"/>
                <w:color w:val="000000" w:themeColor="text1"/>
              </w:rPr>
              <w:t>Practice</w:t>
            </w:r>
            <w:r w:rsidR="00973365" w:rsidRPr="00FD5B96">
              <w:rPr>
                <w:rFonts w:cstheme="minorHAnsi"/>
                <w:color w:val="000000" w:themeColor="text1"/>
              </w:rPr>
              <w:t xml:space="preserve"> </w:t>
            </w:r>
            <w:r w:rsidRPr="00FD5B96">
              <w:rPr>
                <w:rFonts w:cstheme="minorHAnsi"/>
                <w:color w:val="000000" w:themeColor="text1"/>
              </w:rPr>
              <w:t>Exemplars</w:t>
            </w:r>
          </w:p>
          <w:p w14:paraId="31F32711" w14:textId="4E2D6A0F" w:rsidR="008061AC" w:rsidRPr="00FD5B96" w:rsidRDefault="008061AC" w:rsidP="00FD5B96">
            <w:pPr>
              <w:rPr>
                <w:rFonts w:cstheme="minorHAnsi"/>
                <w:color w:val="000000"/>
              </w:rPr>
            </w:pPr>
            <w:r w:rsidRPr="00FD5B96">
              <w:rPr>
                <w:rFonts w:cstheme="minorHAnsi"/>
                <w:color w:val="000000" w:themeColor="text1"/>
              </w:rPr>
              <w:t>4 MU</w:t>
            </w:r>
            <w:r w:rsidR="7623210B" w:rsidRPr="00FD5B96">
              <w:rPr>
                <w:rFonts w:cstheme="minorHAnsi"/>
                <w:color w:val="000000" w:themeColor="text1"/>
              </w:rPr>
              <w:t xml:space="preserve">: </w:t>
            </w:r>
            <w:r w:rsidRPr="00FD5B96">
              <w:rPr>
                <w:rFonts w:cstheme="minorHAnsi"/>
                <w:color w:val="000000" w:themeColor="text1"/>
              </w:rPr>
              <w:t>UDL &amp; Me</w:t>
            </w:r>
            <w:r w:rsidR="380C26F4" w:rsidRPr="00FD5B96">
              <w:rPr>
                <w:rFonts w:cstheme="minorHAnsi"/>
                <w:color w:val="000000" w:themeColor="text1"/>
              </w:rPr>
              <w:t xml:space="preserve">, UDL </w:t>
            </w:r>
            <w:r w:rsidRPr="00FD5B96">
              <w:rPr>
                <w:rFonts w:cstheme="minorHAnsi"/>
                <w:color w:val="000000" w:themeColor="text1"/>
              </w:rPr>
              <w:t>T&amp;L Fellow videos</w:t>
            </w:r>
          </w:p>
          <w:p w14:paraId="582E9403" w14:textId="47B6358B" w:rsidR="008061AC" w:rsidRPr="00FD5B96" w:rsidRDefault="008061AC" w:rsidP="00FD5B96">
            <w:pPr>
              <w:rPr>
                <w:rFonts w:cstheme="minorHAnsi"/>
                <w:color w:val="000000"/>
              </w:rPr>
            </w:pPr>
            <w:r w:rsidRPr="00FD5B96">
              <w:rPr>
                <w:rFonts w:cstheme="minorHAnsi"/>
                <w:color w:val="000000" w:themeColor="text1"/>
              </w:rPr>
              <w:t>9 MU</w:t>
            </w:r>
            <w:r w:rsidR="4488BB05" w:rsidRPr="00FD5B96">
              <w:rPr>
                <w:rFonts w:cstheme="minorHAnsi"/>
                <w:color w:val="000000" w:themeColor="text1"/>
              </w:rPr>
              <w:t xml:space="preserve">: </w:t>
            </w:r>
            <w:r w:rsidRPr="00FD5B96">
              <w:rPr>
                <w:rFonts w:cstheme="minorHAnsi"/>
                <w:color w:val="000000" w:themeColor="text1"/>
              </w:rPr>
              <w:t xml:space="preserve">UDL &amp; </w:t>
            </w:r>
            <w:r w:rsidR="2A36357B" w:rsidRPr="00FD5B96">
              <w:rPr>
                <w:rFonts w:cstheme="minorHAnsi"/>
                <w:color w:val="000000" w:themeColor="text1"/>
              </w:rPr>
              <w:t>U</w:t>
            </w:r>
            <w:r w:rsidR="00565F9E" w:rsidRPr="00FD5B96">
              <w:rPr>
                <w:rFonts w:cstheme="minorHAnsi"/>
                <w:color w:val="000000" w:themeColor="text1"/>
              </w:rPr>
              <w:t>,</w:t>
            </w:r>
            <w:r w:rsidRPr="00FD5B96">
              <w:rPr>
                <w:rFonts w:cstheme="minorHAnsi"/>
                <w:color w:val="000000" w:themeColor="text1"/>
              </w:rPr>
              <w:t xml:space="preserve"> staff and student videos </w:t>
            </w:r>
          </w:p>
          <w:p w14:paraId="0DF112F5" w14:textId="35B85855" w:rsidR="008061AC" w:rsidRPr="00FD5B96" w:rsidRDefault="008061AC" w:rsidP="00FD5B96">
            <w:pPr>
              <w:rPr>
                <w:rFonts w:cstheme="minorHAnsi"/>
                <w:color w:val="000000"/>
              </w:rPr>
            </w:pPr>
            <w:r w:rsidRPr="00FD5B96">
              <w:rPr>
                <w:rFonts w:cstheme="minorHAnsi"/>
                <w:color w:val="000000" w:themeColor="text1"/>
              </w:rPr>
              <w:t>1 MU</w:t>
            </w:r>
            <w:r w:rsidR="10D4A0AE" w:rsidRPr="00FD5B96">
              <w:rPr>
                <w:rFonts w:cstheme="minorHAnsi"/>
                <w:color w:val="000000" w:themeColor="text1"/>
              </w:rPr>
              <w:t xml:space="preserve">: </w:t>
            </w:r>
            <w:r w:rsidR="693B1BB6" w:rsidRPr="00FD5B96">
              <w:rPr>
                <w:rFonts w:cstheme="minorHAnsi"/>
                <w:color w:val="000000" w:themeColor="text1"/>
              </w:rPr>
              <w:t>UDL</w:t>
            </w:r>
            <w:r w:rsidRPr="00FD5B96">
              <w:rPr>
                <w:rFonts w:cstheme="minorHAnsi"/>
                <w:color w:val="000000" w:themeColor="text1"/>
              </w:rPr>
              <w:t xml:space="preserve"> &amp; </w:t>
            </w:r>
            <w:r w:rsidR="002A4049" w:rsidRPr="00FD5B96">
              <w:rPr>
                <w:rFonts w:cstheme="minorHAnsi"/>
                <w:color w:val="000000" w:themeColor="text1"/>
              </w:rPr>
              <w:t>U</w:t>
            </w:r>
            <w:r w:rsidRPr="00FD5B96">
              <w:rPr>
                <w:rFonts w:cstheme="minorHAnsi"/>
                <w:color w:val="000000" w:themeColor="text1"/>
              </w:rPr>
              <w:t xml:space="preserve"> campaign, over 4 weeks. No</w:t>
            </w:r>
            <w:r w:rsidR="089E821C" w:rsidRPr="00FD5B96">
              <w:rPr>
                <w:rFonts w:cstheme="minorHAnsi"/>
                <w:color w:val="000000" w:themeColor="text1"/>
              </w:rPr>
              <w:t>.</w:t>
            </w:r>
            <w:r w:rsidRPr="00FD5B96">
              <w:rPr>
                <w:rFonts w:cstheme="minorHAnsi"/>
                <w:color w:val="000000" w:themeColor="text1"/>
              </w:rPr>
              <w:t xml:space="preserve"> of participants 47</w:t>
            </w:r>
          </w:p>
          <w:p w14:paraId="7470E8A3" w14:textId="77777777" w:rsidR="008061AC" w:rsidRPr="00FD5B96" w:rsidRDefault="008061AC" w:rsidP="00FD5B96">
            <w:pPr>
              <w:rPr>
                <w:rFonts w:cstheme="minorHAnsi"/>
                <w:color w:val="000000"/>
              </w:rPr>
            </w:pPr>
            <w:r w:rsidRPr="00FD5B96">
              <w:rPr>
                <w:rFonts w:cstheme="minorHAnsi"/>
                <w:color w:val="000000"/>
              </w:rPr>
              <w:t>1 Social Justice Week event, 7 March 2024, No. of participants 29</w:t>
            </w:r>
          </w:p>
          <w:p w14:paraId="489068F8" w14:textId="7CEC5E54" w:rsidR="008061AC" w:rsidRPr="00FD5B96" w:rsidRDefault="008061AC" w:rsidP="00FD5B96">
            <w:pPr>
              <w:rPr>
                <w:rFonts w:cstheme="minorHAnsi"/>
                <w:color w:val="000000"/>
              </w:rPr>
            </w:pPr>
            <w:r w:rsidRPr="00FD5B96">
              <w:rPr>
                <w:rFonts w:cstheme="minorHAnsi"/>
                <w:color w:val="000000" w:themeColor="text1"/>
              </w:rPr>
              <w:t>1 MU</w:t>
            </w:r>
            <w:r w:rsidR="51B3759A" w:rsidRPr="00FD5B96">
              <w:rPr>
                <w:rFonts w:cstheme="minorHAnsi"/>
                <w:color w:val="000000" w:themeColor="text1"/>
              </w:rPr>
              <w:t xml:space="preserve">: </w:t>
            </w:r>
            <w:r w:rsidRPr="00FD5B96">
              <w:rPr>
                <w:rFonts w:cstheme="minorHAnsi"/>
                <w:color w:val="000000" w:themeColor="text1"/>
              </w:rPr>
              <w:t xml:space="preserve">UDL &amp; </w:t>
            </w:r>
            <w:r w:rsidR="00FF3764" w:rsidRPr="00FD5B96">
              <w:rPr>
                <w:rFonts w:cstheme="minorHAnsi"/>
                <w:color w:val="000000" w:themeColor="text1"/>
              </w:rPr>
              <w:t>U</w:t>
            </w:r>
            <w:r w:rsidRPr="00FD5B96">
              <w:rPr>
                <w:rFonts w:cstheme="minorHAnsi"/>
                <w:color w:val="000000" w:themeColor="text1"/>
              </w:rPr>
              <w:t>. Open Mic session, 1 May 2024, No. of participants 21</w:t>
            </w:r>
          </w:p>
          <w:p w14:paraId="6652F5B9" w14:textId="1C06DD08" w:rsidR="008061AC" w:rsidRPr="00FD5B96" w:rsidRDefault="7369D3DC" w:rsidP="00FD5B96">
            <w:pPr>
              <w:rPr>
                <w:rFonts w:cstheme="minorHAnsi"/>
                <w:color w:val="000000"/>
              </w:rPr>
            </w:pPr>
            <w:r w:rsidRPr="00FD5B96">
              <w:rPr>
                <w:rFonts w:cstheme="minorHAnsi"/>
                <w:color w:val="000000" w:themeColor="text1"/>
              </w:rPr>
              <w:t xml:space="preserve">3 </w:t>
            </w:r>
            <w:r w:rsidR="008061AC" w:rsidRPr="00FD5B96">
              <w:rPr>
                <w:rFonts w:cstheme="minorHAnsi"/>
                <w:color w:val="000000" w:themeColor="text1"/>
              </w:rPr>
              <w:t xml:space="preserve">international conference presentations </w:t>
            </w:r>
          </w:p>
          <w:p w14:paraId="4FCDB638" w14:textId="6335F116" w:rsidR="00987020" w:rsidRPr="00FD5B96" w:rsidRDefault="548562D9" w:rsidP="00FD5B96">
            <w:pPr>
              <w:rPr>
                <w:rFonts w:cstheme="minorHAnsi"/>
                <w:color w:val="000000" w:themeColor="text1"/>
              </w:rPr>
            </w:pPr>
            <w:r w:rsidRPr="00FD5B96">
              <w:rPr>
                <w:rFonts w:cstheme="minorHAnsi"/>
                <w:color w:val="000000" w:themeColor="text1"/>
              </w:rPr>
              <w:t xml:space="preserve">1 </w:t>
            </w:r>
            <w:r w:rsidR="17DEDED1" w:rsidRPr="00FD5B96">
              <w:rPr>
                <w:rFonts w:cstheme="minorHAnsi"/>
                <w:color w:val="000000" w:themeColor="text1"/>
              </w:rPr>
              <w:t>Staff information session on ‘Creating a Culture of Inclusion in the Classroom: Research Foundations for Universal Design for Learning (UDL) &amp; Models of Good Practice’, 15 November</w:t>
            </w:r>
            <w:r w:rsidR="3C8EABA2" w:rsidRPr="00FD5B96">
              <w:rPr>
                <w:rFonts w:cstheme="minorHAnsi"/>
                <w:color w:val="000000" w:themeColor="text1"/>
              </w:rPr>
              <w:t xml:space="preserve"> 2024</w:t>
            </w:r>
            <w:r w:rsidR="17DEDED1" w:rsidRPr="00FD5B96">
              <w:rPr>
                <w:rFonts w:cstheme="minorHAnsi"/>
                <w:color w:val="000000" w:themeColor="text1"/>
              </w:rPr>
              <w:t>, No. of participants 51</w:t>
            </w:r>
          </w:p>
          <w:p w14:paraId="21E2A45E" w14:textId="4A0ECB32" w:rsidR="0019761B" w:rsidRPr="00FD5B96" w:rsidRDefault="00987020" w:rsidP="00FD5B96">
            <w:pPr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cstheme="minorHAnsi"/>
                <w:color w:val="000000" w:themeColor="text1"/>
              </w:rPr>
              <w:t xml:space="preserve">1 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co-sponsorship of the ‘UDL International Symposium: Learning Together’, 8-9 June 2023</w:t>
            </w:r>
            <w:r w:rsidR="00FD5B96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br/>
            </w:r>
            <w:r w:rsidRPr="00FD5B96">
              <w:rPr>
                <w:rFonts w:eastAsiaTheme="minorEastAsia" w:cstheme="minorHAnsi"/>
                <w:color w:val="3B3838" w:themeColor="background2" w:themeShade="40"/>
              </w:rPr>
              <w:t>1 commissioned research report to explore the evidence on the effectiveness of UDL as an approach to creating more inclusive higher education practice</w:t>
            </w:r>
            <w:r w:rsidR="00FD5B96" w:rsidRPr="00FD5B96">
              <w:rPr>
                <w:rFonts w:eastAsiaTheme="minorEastAsia" w:cstheme="minorHAnsi"/>
                <w:color w:val="3B3838" w:themeColor="background2" w:themeShade="40"/>
              </w:rPr>
              <w:t>.</w:t>
            </w:r>
          </w:p>
          <w:p w14:paraId="3420525F" w14:textId="771CA5FB" w:rsidR="0019761B" w:rsidRPr="00FD5B96" w:rsidRDefault="00987020" w:rsidP="00FD5B96">
            <w:pPr>
              <w:spacing w:before="80" w:after="80"/>
              <w:rPr>
                <w:rFonts w:cstheme="minorHAnsi"/>
                <w:color w:val="000000" w:themeColor="text1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1 </w:t>
            </w:r>
            <w:r w:rsidRPr="00FD5B96">
              <w:rPr>
                <w:rFonts w:cstheme="minorHAnsi"/>
              </w:rPr>
              <w:t>short review of models of good practice in embedding inclusive higher education in teaching and learning practice.</w:t>
            </w:r>
          </w:p>
        </w:tc>
      </w:tr>
      <w:tr w:rsidR="4D76C2C4" w:rsidRPr="00FD5B96" w14:paraId="4FB53F00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FB4210B" w14:textId="4EAB4804" w:rsidR="4D76C2C4" w:rsidRPr="00FD5B96" w:rsidRDefault="00917993" w:rsidP="2DB88DA9">
            <w:pPr>
              <w:spacing w:before="80" w:after="160" w:line="259" w:lineRule="auto"/>
              <w:rPr>
                <w:rFonts w:eastAsiaTheme="minorEastAsia" w:cstheme="minorHAnsi"/>
                <w:b/>
                <w:bCs/>
                <w:lang w:val="en-IE"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>Initiative</w:t>
            </w:r>
            <w:r w:rsidR="6859D84D" w:rsidRPr="00FD5B96">
              <w:rPr>
                <w:rFonts w:eastAsiaTheme="minorEastAsia" w:cstheme="minorHAnsi"/>
                <w:b/>
                <w:bCs/>
              </w:rPr>
              <w:t xml:space="preserve"> Title 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4D6ABA7" w14:textId="57A34ACF" w:rsidR="4D76C2C4" w:rsidRPr="00FD5B96" w:rsidRDefault="008061AC" w:rsidP="49E87A76">
            <w:pPr>
              <w:spacing w:before="80" w:after="80"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MU: UDL &amp; U. Building</w:t>
            </w:r>
            <w:r w:rsidR="6823CAA3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a Culture of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Inclusion on </w:t>
            </w:r>
            <w:r w:rsidR="46796399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C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ampus</w:t>
            </w:r>
          </w:p>
        </w:tc>
      </w:tr>
      <w:tr w:rsidR="4D76C2C4" w:rsidRPr="00FD5B96" w14:paraId="28715E12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5F9B38A7" w14:textId="6059894C" w:rsidR="4D76C2C4" w:rsidRPr="00FD5B96" w:rsidRDefault="4D76C2C4" w:rsidP="4D76C2C4">
            <w:pPr>
              <w:spacing w:line="259" w:lineRule="auto"/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>Aims/Objectives</w:t>
            </w:r>
          </w:p>
          <w:p w14:paraId="6E4D5BEB" w14:textId="4348CAC4" w:rsidR="4D76C2C4" w:rsidRPr="00FD5B96" w:rsidRDefault="4D76C2C4" w:rsidP="4D76C2C4">
            <w:pPr>
              <w:spacing w:line="259" w:lineRule="auto"/>
              <w:rPr>
                <w:rFonts w:eastAsiaTheme="minorEastAsia" w:cstheme="minorHAnsi"/>
                <w:b/>
                <w:bCs/>
              </w:rPr>
            </w:pPr>
          </w:p>
          <w:p w14:paraId="056BD0B0" w14:textId="4CC3BB8A" w:rsidR="4D76C2C4" w:rsidRPr="00FD5B96" w:rsidRDefault="4D76C2C4" w:rsidP="4D76C2C4">
            <w:pPr>
              <w:spacing w:line="259" w:lineRule="auto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90C4E68" w14:textId="45CB4925" w:rsidR="005B4BA2" w:rsidRPr="00FD5B96" w:rsidRDefault="005B4BA2" w:rsidP="00FD5B96">
            <w:pPr>
              <w:jc w:val="both"/>
              <w:rPr>
                <w:rFonts w:eastAsiaTheme="minorEastAsia" w:cstheme="minorHAnsi"/>
                <w:color w:val="3B3838" w:themeColor="background2" w:themeShade="40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</w:rPr>
              <w:t xml:space="preserve">The aim of the </w:t>
            </w:r>
            <w:r w:rsidR="00FD5B96">
              <w:rPr>
                <w:rFonts w:eastAsiaTheme="minorEastAsia" w:cstheme="minorHAnsi"/>
                <w:color w:val="3B3838" w:themeColor="background2" w:themeShade="40"/>
              </w:rPr>
              <w:t>MU: UDL &amp; U initiative</w:t>
            </w:r>
            <w:r w:rsidRPr="00FD5B96">
              <w:rPr>
                <w:rFonts w:eastAsiaTheme="minorEastAsia" w:cstheme="minorHAnsi"/>
                <w:color w:val="3B3838" w:themeColor="background2" w:themeShade="40"/>
              </w:rPr>
              <w:t xml:space="preserve"> was to contribute to inclusive education on campus by drawing on the principles and practice of Universal Design for Learning (UDL).  </w:t>
            </w:r>
          </w:p>
          <w:p w14:paraId="2AD2980C" w14:textId="77777777" w:rsidR="005B4BA2" w:rsidRPr="00FD5B96" w:rsidRDefault="005B4BA2" w:rsidP="005B4BA2">
            <w:pPr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</w:p>
          <w:p w14:paraId="19C2F508" w14:textId="6C3962C6" w:rsidR="005B4BA2" w:rsidRPr="00FD5B96" w:rsidRDefault="00847A99" w:rsidP="00FD5B96">
            <w:pPr>
              <w:jc w:val="both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The </w:t>
            </w:r>
            <w:r w:rsidR="009A7555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Centre for Teaching and Learning</w:t>
            </w:r>
            <w:r w:rsidR="0C2BA8DC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(CTL)</w:t>
            </w:r>
            <w:r w:rsidR="005B4BA2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in collaboration with the </w:t>
            </w:r>
            <w:r w:rsidR="009A7555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Maynooth </w:t>
            </w:r>
            <w:r w:rsidR="005B4BA2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Access </w:t>
            </w:r>
            <w:r w:rsidR="00147DFB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Programme</w:t>
            </w:r>
            <w:r w:rsidR="005B4BA2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, awarded four UDL focused T&amp;L Fellowships to Maynooth University colleagues under the </w:t>
            </w:r>
            <w:hyperlink r:id="rId11">
              <w:r w:rsidR="005B4BA2" w:rsidRPr="00FD5B96">
                <w:rPr>
                  <w:rStyle w:val="Hyperlink"/>
                  <w:rFonts w:eastAsiaTheme="minorEastAsia" w:cstheme="minorHAnsi"/>
                  <w:lang w:val="en-IE"/>
                </w:rPr>
                <w:t>HEA PATH 4, Phase 1 - Universal Design for Education Fund</w:t>
              </w:r>
            </w:hyperlink>
            <w:r w:rsidR="0097316F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, for a </w:t>
            </w:r>
            <w:r w:rsidR="68231872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two-year</w:t>
            </w:r>
            <w:r w:rsidR="0097316F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per</w:t>
            </w:r>
            <w:r w:rsidR="006A5D1C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iod.</w:t>
            </w:r>
            <w:r w:rsidR="005B4BA2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 The UDL Faculty T&amp;L Fellows worked together with CTL staff to co-design and implement th</w:t>
            </w:r>
            <w:r w:rsidR="63D8FA45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e MU: </w:t>
            </w:r>
            <w:r w:rsidR="005B4BA2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UDL</w:t>
            </w:r>
            <w:r w:rsidR="4CE6B4DD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&amp; U</w:t>
            </w:r>
            <w:r w:rsidR="005B4BA2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</w:t>
            </w:r>
            <w:r w:rsidR="2917C03B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i</w:t>
            </w:r>
            <w:r w:rsidR="005B4BA2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nitiative within which we</w:t>
            </w:r>
          </w:p>
          <w:p w14:paraId="673EE6A1" w14:textId="77777777" w:rsidR="005B4BA2" w:rsidRPr="00FD5B96" w:rsidRDefault="005B4BA2" w:rsidP="005B4BA2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GB"/>
              </w:rPr>
            </w:pPr>
          </w:p>
          <w:p w14:paraId="7322AD90" w14:textId="1BBF7144" w:rsidR="005B4BA2" w:rsidRPr="00FD5B96" w:rsidRDefault="005B4BA2" w:rsidP="0004564D">
            <w:pPr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lastRenderedPageBreak/>
              <w:t xml:space="preserve">collated and developed UDL educational resources and guidelines to assist staff in learning about and applying UDL principles in their practice </w:t>
            </w:r>
          </w:p>
          <w:p w14:paraId="14696FEA" w14:textId="7A3EEAE6" w:rsidR="005B4BA2" w:rsidRPr="00FD5B96" w:rsidRDefault="005B4BA2" w:rsidP="0004564D">
            <w:pPr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designed and implemented a short UDL awareness campaign to prompt and support </w:t>
            </w:r>
            <w:r w:rsidR="00AC6286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MU 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staff to make small incremental changes to increase the inclusiveness of their teaching, learning and assessment practices </w:t>
            </w:r>
          </w:p>
          <w:p w14:paraId="44C219E3" w14:textId="340AA16C" w:rsidR="005B4BA2" w:rsidRPr="00FD5B96" w:rsidRDefault="005B4BA2" w:rsidP="0004564D">
            <w:pPr>
              <w:numPr>
                <w:ilvl w:val="0"/>
                <w:numId w:val="7"/>
              </w:numPr>
              <w:spacing w:line="259" w:lineRule="auto"/>
              <w:ind w:left="360"/>
              <w:jc w:val="both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collated faculty specific exemplars of good UDL practice to inspire and share good practice across the University</w:t>
            </w:r>
          </w:p>
          <w:p w14:paraId="17F95AA5" w14:textId="1DA091EB" w:rsidR="005B4BA2" w:rsidRPr="00FD5B96" w:rsidRDefault="005B4BA2" w:rsidP="0004564D">
            <w:pPr>
              <w:numPr>
                <w:ilvl w:val="0"/>
                <w:numId w:val="7"/>
              </w:numPr>
              <w:spacing w:line="259" w:lineRule="auto"/>
              <w:ind w:left="360"/>
              <w:jc w:val="both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contributed to cross-campus conversation, including those with senior leaders, about how to nurture a culture of inclusive education</w:t>
            </w:r>
          </w:p>
          <w:p w14:paraId="65240852" w14:textId="119073FC" w:rsidR="00E07E2A" w:rsidRPr="00FD5B96" w:rsidRDefault="71ABE10D" w:rsidP="0004564D">
            <w:pPr>
              <w:numPr>
                <w:ilvl w:val="0"/>
                <w:numId w:val="7"/>
              </w:numPr>
              <w:spacing w:line="259" w:lineRule="auto"/>
              <w:ind w:left="360"/>
              <w:jc w:val="both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c</w:t>
            </w:r>
            <w:r w:rsidR="00E07E2A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o-sponsored the </w:t>
            </w:r>
            <w:r w:rsidR="00D859F6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‘UDL International</w:t>
            </w:r>
            <w:r w:rsidR="00320C9E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Symposium</w:t>
            </w:r>
            <w:r w:rsidR="00D859F6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: Learning</w:t>
            </w:r>
            <w:r w:rsidR="00096004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Together’, 8-9 June 2023.</w:t>
            </w:r>
          </w:p>
          <w:p w14:paraId="173EFCAF" w14:textId="3D37E8FF" w:rsidR="005B4BA2" w:rsidRPr="00FD5B96" w:rsidRDefault="005B4BA2" w:rsidP="0004564D">
            <w:pPr>
              <w:numPr>
                <w:ilvl w:val="0"/>
                <w:numId w:val="7"/>
              </w:numPr>
              <w:spacing w:line="259" w:lineRule="auto"/>
              <w:ind w:left="360"/>
              <w:jc w:val="both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shared our work in institutional, national and internation settings.</w:t>
            </w:r>
          </w:p>
          <w:p w14:paraId="5078B1CF" w14:textId="6DF2DCC4" w:rsidR="6943DD51" w:rsidRPr="00FD5B96" w:rsidRDefault="6943DD51" w:rsidP="4D76C2C4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</w:p>
        </w:tc>
      </w:tr>
      <w:tr w:rsidR="4D76C2C4" w:rsidRPr="00FD5B96" w14:paraId="4B50D7CE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7D77F55A" w14:textId="3AFFC3A7" w:rsidR="4D76C2C4" w:rsidRPr="00FD5B96" w:rsidRDefault="00F77C41" w:rsidP="006A77B1">
            <w:pPr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lastRenderedPageBreak/>
              <w:t>Rationale and Identified Needs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3319B1E" w14:textId="207D0C8C" w:rsidR="4D76C2C4" w:rsidRPr="00FD5B96" w:rsidRDefault="001C59C4" w:rsidP="00C90A38">
            <w:pPr>
              <w:spacing w:line="259" w:lineRule="auto"/>
              <w:jc w:val="both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This </w:t>
            </w:r>
            <w:r w:rsidR="0002005C">
              <w:rPr>
                <w:rFonts w:eastAsiaTheme="minorEastAsia" w:cstheme="minorHAnsi"/>
                <w:color w:val="3B3838" w:themeColor="background2" w:themeShade="40"/>
                <w:lang w:val="en-IE"/>
              </w:rPr>
              <w:t>init</w:t>
            </w:r>
            <w:r w:rsidR="00C90A38">
              <w:rPr>
                <w:rFonts w:eastAsiaTheme="minorEastAsia" w:cstheme="minorHAnsi"/>
                <w:color w:val="3B3838" w:themeColor="background2" w:themeShade="40"/>
                <w:lang w:val="en-IE"/>
              </w:rPr>
              <w:t>iative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responds to the growing diversity of the Maynooth University student population and reflects </w:t>
            </w:r>
            <w:r w:rsidR="5A2ACBA2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our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commitments under the </w:t>
            </w:r>
            <w:r w:rsidR="0BC74D28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‘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Students and Learning</w:t>
            </w:r>
            <w:r w:rsidR="0E5CD28F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’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heading of the Maynooth University Strategic Plan 2023-28 to ‘educate our students in an inclusive environment in which everyone can thrive personally and intellectually, in which they have a space to understand themselves as people, as engaged citizens and as independent thinkers’ (2023, p. 14).  </w:t>
            </w:r>
          </w:p>
        </w:tc>
      </w:tr>
      <w:tr w:rsidR="4D76C2C4" w:rsidRPr="00FD5B96" w14:paraId="4F07039D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91C728D" w14:textId="77777777" w:rsidR="00F77C41" w:rsidRPr="00FD5B96" w:rsidRDefault="00F77C41" w:rsidP="00F77C41">
            <w:pPr>
              <w:spacing w:line="259" w:lineRule="auto"/>
              <w:rPr>
                <w:rFonts w:eastAsiaTheme="minorEastAsia" w:cstheme="minorHAnsi"/>
                <w:b/>
                <w:bCs/>
                <w:lang w:val="en-IE"/>
              </w:rPr>
            </w:pPr>
            <w:r w:rsidRPr="00FD5B96">
              <w:rPr>
                <w:rFonts w:eastAsiaTheme="minorEastAsia" w:cstheme="minorHAnsi"/>
                <w:b/>
                <w:bCs/>
                <w:lang w:val="en-IE"/>
              </w:rPr>
              <w:t>Frameworks, Policies, or Strategies Aligned</w:t>
            </w:r>
          </w:p>
          <w:p w14:paraId="1572EF17" w14:textId="77777777" w:rsidR="00801E77" w:rsidRPr="00FD5B96" w:rsidRDefault="00801E77" w:rsidP="006A77B1">
            <w:pPr>
              <w:spacing w:line="259" w:lineRule="auto"/>
              <w:rPr>
                <w:rFonts w:eastAsiaTheme="minorEastAsia" w:cstheme="minorHAnsi"/>
                <w:b/>
                <w:bCs/>
              </w:rPr>
            </w:pPr>
          </w:p>
          <w:p w14:paraId="70477AC5" w14:textId="50BC287E" w:rsidR="4D76C2C4" w:rsidRPr="00FD5B96" w:rsidRDefault="006A77B1" w:rsidP="4D76C2C4">
            <w:pPr>
              <w:spacing w:line="259" w:lineRule="auto"/>
              <w:rPr>
                <w:rFonts w:eastAsiaTheme="minorEastAsia" w:cstheme="minorHAnsi"/>
                <w:b/>
                <w:bCs/>
                <w:i/>
                <w:i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>(internal, local or national)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07C6C1C1" w14:textId="2BC357AE" w:rsidR="791A740F" w:rsidRPr="00C90A38" w:rsidRDefault="05ABB751" w:rsidP="791A740F">
            <w:pPr>
              <w:pStyle w:val="ListParagraph"/>
              <w:numPr>
                <w:ilvl w:val="0"/>
                <w:numId w:val="11"/>
              </w:numPr>
              <w:rPr>
                <w:rFonts w:eastAsiaTheme="minorEastAsia" w:cstheme="minorHAnsi"/>
                <w:color w:val="000000" w:themeColor="text1"/>
                <w:lang w:val="en-IE"/>
              </w:rPr>
            </w:pPr>
            <w:r w:rsidRPr="00C90A38">
              <w:rPr>
                <w:rFonts w:eastAsiaTheme="minorEastAsia" w:cstheme="minorHAnsi"/>
                <w:color w:val="000000" w:themeColor="text1"/>
                <w:lang w:val="en-IE"/>
              </w:rPr>
              <w:t xml:space="preserve">Higher Education Authority (2022) </w:t>
            </w:r>
            <w:r w:rsidRPr="00C90A38">
              <w:rPr>
                <w:rFonts w:eastAsiaTheme="minorEastAsia" w:cstheme="minorHAnsi"/>
                <w:i/>
                <w:iCs/>
                <w:color w:val="000000" w:themeColor="text1"/>
                <w:lang w:val="en-IE"/>
              </w:rPr>
              <w:t xml:space="preserve">National Access Plan. A Strategic Action Plan for Equity of Access, Participation and Success in Higher Education 2022-2029. </w:t>
            </w:r>
            <w:r w:rsidRPr="00C90A38">
              <w:rPr>
                <w:rFonts w:eastAsiaTheme="minorEastAsia" w:cstheme="minorHAnsi"/>
                <w:color w:val="000000" w:themeColor="text1"/>
                <w:lang w:val="en-IE"/>
              </w:rPr>
              <w:t xml:space="preserve">Accessible at </w:t>
            </w:r>
            <w:hyperlink r:id="rId12">
              <w:r w:rsidRPr="00C90A38">
                <w:rPr>
                  <w:rStyle w:val="Hyperlink"/>
                  <w:rFonts w:eastAsiaTheme="minorEastAsia" w:cstheme="minorHAnsi"/>
                  <w:lang w:val="en-IE"/>
                </w:rPr>
                <w:t>https://hea.ie/policy/access-policy/national-access-plan-2022-2028/</w:t>
              </w:r>
            </w:hyperlink>
          </w:p>
          <w:p w14:paraId="74F62092" w14:textId="1FC159B8" w:rsidR="791A740F" w:rsidRPr="00C90A38" w:rsidRDefault="001C59C4" w:rsidP="791A740F">
            <w:pPr>
              <w:pStyle w:val="ListParagraph"/>
              <w:numPr>
                <w:ilvl w:val="0"/>
                <w:numId w:val="11"/>
              </w:numPr>
              <w:rPr>
                <w:rFonts w:eastAsiaTheme="minorEastAsia" w:cstheme="minorHAnsi"/>
                <w:color w:val="000000" w:themeColor="text1"/>
                <w:lang w:val="en-IE"/>
              </w:rPr>
            </w:pPr>
            <w:r w:rsidRPr="00C90A38">
              <w:rPr>
                <w:rFonts w:eastAsiaTheme="minorEastAsia" w:cstheme="minorHAnsi"/>
                <w:color w:val="000000" w:themeColor="text1"/>
                <w:lang w:val="en-IE"/>
              </w:rPr>
              <w:t xml:space="preserve">Maynooth University (2023) </w:t>
            </w:r>
            <w:r w:rsidRPr="00C90A38">
              <w:rPr>
                <w:rFonts w:eastAsiaTheme="minorEastAsia" w:cstheme="minorHAnsi"/>
                <w:i/>
                <w:iCs/>
                <w:color w:val="000000" w:themeColor="text1"/>
                <w:lang w:val="en-IE"/>
              </w:rPr>
              <w:t xml:space="preserve">Maynooth University Strategic Plan 2023-2028. </w:t>
            </w:r>
            <w:r w:rsidRPr="00C90A38">
              <w:rPr>
                <w:rFonts w:eastAsiaTheme="minorEastAsia" w:cstheme="minorHAnsi"/>
                <w:color w:val="000000" w:themeColor="text1"/>
                <w:lang w:val="en-IE"/>
              </w:rPr>
              <w:t xml:space="preserve">Accessible at </w:t>
            </w:r>
            <w:hyperlink r:id="rId13">
              <w:r w:rsidR="008625E7" w:rsidRPr="00C90A38">
                <w:rPr>
                  <w:rStyle w:val="Hyperlink"/>
                  <w:rFonts w:eastAsiaTheme="minorEastAsia" w:cstheme="minorHAnsi"/>
                  <w:lang w:val="en-IE"/>
                </w:rPr>
                <w:t>https://strategy.maynoothuniversity.ie/</w:t>
              </w:r>
            </w:hyperlink>
          </w:p>
          <w:p w14:paraId="0E5A5311" w14:textId="7E1324BD" w:rsidR="7F638F0A" w:rsidRPr="00C90A38" w:rsidRDefault="00EF4CBC" w:rsidP="7F638F0A">
            <w:pPr>
              <w:pStyle w:val="ListParagraph"/>
              <w:numPr>
                <w:ilvl w:val="0"/>
                <w:numId w:val="11"/>
              </w:numPr>
              <w:rPr>
                <w:rFonts w:eastAsiaTheme="minorEastAsia" w:cstheme="minorHAnsi"/>
                <w:color w:val="000000" w:themeColor="text1"/>
                <w:lang w:val="en-IE"/>
              </w:rPr>
            </w:pPr>
            <w:r w:rsidRPr="00C90A38">
              <w:rPr>
                <w:rFonts w:eastAsiaTheme="minorEastAsia" w:cstheme="minorHAnsi"/>
                <w:color w:val="000000" w:themeColor="text1"/>
                <w:lang w:val="en-IE"/>
              </w:rPr>
              <w:t xml:space="preserve">Maynooth University </w:t>
            </w:r>
            <w:r w:rsidR="00C94E5B" w:rsidRPr="00C90A38">
              <w:rPr>
                <w:rFonts w:eastAsiaTheme="minorEastAsia" w:cstheme="minorHAnsi"/>
                <w:color w:val="000000" w:themeColor="text1"/>
                <w:lang w:val="en-IE"/>
              </w:rPr>
              <w:t>(2023</w:t>
            </w:r>
            <w:r w:rsidRPr="00C90A38">
              <w:rPr>
                <w:rFonts w:eastAsiaTheme="minorEastAsia" w:cstheme="minorHAnsi"/>
                <w:color w:val="000000" w:themeColor="text1"/>
                <w:lang w:val="en-IE"/>
              </w:rPr>
              <w:t xml:space="preserve">) </w:t>
            </w:r>
            <w:r w:rsidR="001C59C4" w:rsidRPr="00C90A38">
              <w:rPr>
                <w:rFonts w:eastAsiaTheme="minorEastAsia" w:cstheme="minorHAnsi"/>
                <w:i/>
                <w:iCs/>
                <w:color w:val="000000" w:themeColor="text1"/>
                <w:lang w:val="en-IE"/>
              </w:rPr>
              <w:t>Maynooth University Student Success Strategy</w:t>
            </w:r>
            <w:r w:rsidRPr="00C90A38">
              <w:rPr>
                <w:rFonts w:eastAsiaTheme="minorEastAsia" w:cstheme="minorHAnsi"/>
                <w:i/>
                <w:iCs/>
                <w:color w:val="000000" w:themeColor="text1"/>
                <w:lang w:val="en-IE"/>
              </w:rPr>
              <w:t xml:space="preserve">. </w:t>
            </w:r>
            <w:r w:rsidRPr="00C90A38">
              <w:rPr>
                <w:rFonts w:eastAsiaTheme="minorEastAsia" w:cstheme="minorHAnsi"/>
                <w:color w:val="000000" w:themeColor="text1"/>
                <w:lang w:val="en-IE"/>
              </w:rPr>
              <w:t xml:space="preserve">Accessible at: </w:t>
            </w:r>
            <w:hyperlink r:id="rId14">
              <w:r w:rsidRPr="00C90A38">
                <w:rPr>
                  <w:rStyle w:val="Hyperlink"/>
                  <w:rFonts w:eastAsiaTheme="minorEastAsia" w:cstheme="minorHAnsi"/>
                  <w:lang w:val="en-IE"/>
                </w:rPr>
                <w:t>https://www.maynoothuniversity.ie/sites/default/files/assets/document/MU_SSI%20-%20Student%20Success%20Strategy.pdf</w:t>
              </w:r>
            </w:hyperlink>
          </w:p>
          <w:p w14:paraId="06173E69" w14:textId="082C56BD" w:rsidR="7F638F0A" w:rsidRPr="00C90A38" w:rsidRDefault="00EF4CBC" w:rsidP="7F638F0A">
            <w:pPr>
              <w:pStyle w:val="ListParagraph"/>
              <w:numPr>
                <w:ilvl w:val="0"/>
                <w:numId w:val="11"/>
              </w:numPr>
              <w:rPr>
                <w:rFonts w:eastAsiaTheme="minorEastAsia" w:cstheme="minorHAnsi"/>
                <w:color w:val="000000" w:themeColor="text1"/>
                <w:lang w:val="en-IE"/>
              </w:rPr>
            </w:pPr>
            <w:r w:rsidRPr="00C90A38">
              <w:rPr>
                <w:rFonts w:eastAsiaTheme="minorEastAsia" w:cstheme="minorHAnsi"/>
                <w:color w:val="000000" w:themeColor="text1"/>
                <w:lang w:val="en-IE"/>
              </w:rPr>
              <w:t xml:space="preserve">Maynooth University (n.d.) </w:t>
            </w:r>
            <w:r w:rsidRPr="00C90A38">
              <w:rPr>
                <w:rFonts w:eastAsiaTheme="minorEastAsia" w:cstheme="minorHAnsi"/>
                <w:i/>
                <w:iCs/>
                <w:color w:val="000000" w:themeColor="text1"/>
                <w:lang w:val="en-IE"/>
              </w:rPr>
              <w:t>Maynooth University Student Charter</w:t>
            </w:r>
            <w:r w:rsidRPr="00C90A38">
              <w:rPr>
                <w:rFonts w:eastAsiaTheme="minorEastAsia" w:cstheme="minorHAnsi"/>
                <w:color w:val="000000" w:themeColor="text1"/>
                <w:lang w:val="en-IE"/>
              </w:rPr>
              <w:t xml:space="preserve">. Accessible at: </w:t>
            </w:r>
            <w:hyperlink r:id="rId15">
              <w:r w:rsidRPr="00C90A38">
                <w:rPr>
                  <w:rStyle w:val="Hyperlink"/>
                  <w:rFonts w:eastAsiaTheme="minorEastAsia" w:cstheme="minorHAnsi"/>
                  <w:lang w:val="en-IE"/>
                </w:rPr>
                <w:t>https://www.maynoothuniversity.ie/edi/student-charter</w:t>
              </w:r>
            </w:hyperlink>
          </w:p>
          <w:p w14:paraId="48C44B83" w14:textId="7DAD40FD" w:rsidR="00917993" w:rsidRPr="00C90A38" w:rsidRDefault="00EF4CBC" w:rsidP="00C90A38">
            <w:pPr>
              <w:pStyle w:val="ListParagraph"/>
              <w:numPr>
                <w:ilvl w:val="0"/>
                <w:numId w:val="11"/>
              </w:numPr>
              <w:rPr>
                <w:rFonts w:eastAsiaTheme="minorEastAsia" w:cstheme="minorHAnsi"/>
                <w:color w:val="000000" w:themeColor="text1"/>
                <w:lang w:val="en-IE"/>
              </w:rPr>
            </w:pPr>
            <w:r w:rsidRPr="00C90A38">
              <w:rPr>
                <w:rFonts w:eastAsiaTheme="minorEastAsia" w:cstheme="minorHAnsi"/>
                <w:color w:val="000000" w:themeColor="text1"/>
                <w:lang w:val="en-IE"/>
              </w:rPr>
              <w:t xml:space="preserve">National Forum for the Enhancement of Teaching and Learning in Higher Education (2021) </w:t>
            </w:r>
            <w:r w:rsidRPr="00C90A38">
              <w:rPr>
                <w:rFonts w:eastAsiaTheme="minorEastAsia" w:cstheme="minorHAnsi"/>
                <w:i/>
                <w:iCs/>
                <w:color w:val="000000" w:themeColor="text1"/>
                <w:lang w:val="en-IE"/>
              </w:rPr>
              <w:t xml:space="preserve">Next Steps for Teaching and Learning: Moving Forward Together. </w:t>
            </w:r>
            <w:r w:rsidRPr="00C90A38">
              <w:rPr>
                <w:rFonts w:eastAsiaTheme="minorEastAsia" w:cstheme="minorHAnsi"/>
                <w:color w:val="000000" w:themeColor="text1"/>
                <w:lang w:val="en-IE"/>
              </w:rPr>
              <w:t xml:space="preserve">Accessible at </w:t>
            </w:r>
            <w:hyperlink r:id="rId16">
              <w:r w:rsidR="001318B4" w:rsidRPr="00C90A38">
                <w:rPr>
                  <w:rStyle w:val="Hyperlink"/>
                  <w:rFonts w:eastAsiaTheme="minorEastAsia" w:cstheme="minorHAnsi"/>
                  <w:lang w:val="en-IE"/>
                </w:rPr>
                <w:t>https://www.teachingandlearning.ie/wp-content/uploads/Next-Steps.pdf</w:t>
              </w:r>
            </w:hyperlink>
          </w:p>
          <w:p w14:paraId="53DC49CA" w14:textId="3CDEFB49" w:rsidR="006A77B1" w:rsidRPr="00FD5B96" w:rsidRDefault="006A77B1" w:rsidP="791A740F">
            <w:pPr>
              <w:spacing w:line="259" w:lineRule="auto"/>
              <w:rPr>
                <w:rFonts w:eastAsiaTheme="minorEastAsia" w:cstheme="minorHAnsi"/>
                <w:color w:val="000000" w:themeColor="text1"/>
                <w:lang w:val="en-IE"/>
              </w:rPr>
            </w:pPr>
          </w:p>
        </w:tc>
      </w:tr>
      <w:tr w:rsidR="4D76C2C4" w:rsidRPr="00FD5B96" w14:paraId="6DA27EDD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2392C9F" w14:textId="050C7737" w:rsidR="63642A8C" w:rsidRPr="00FD5B96" w:rsidRDefault="63642A8C" w:rsidP="49E87A76">
            <w:pPr>
              <w:spacing w:line="259" w:lineRule="auto"/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>Summary</w:t>
            </w:r>
            <w:r w:rsidR="6068CED2" w:rsidRPr="00FD5B96">
              <w:rPr>
                <w:rFonts w:eastAsiaTheme="minorEastAsia" w:cstheme="minorHAnsi"/>
                <w:b/>
                <w:bCs/>
              </w:rPr>
              <w:t xml:space="preserve"> </w:t>
            </w:r>
            <w:r w:rsidR="6A80CBF2" w:rsidRPr="00FD5B96">
              <w:rPr>
                <w:rFonts w:eastAsiaTheme="minorEastAsia" w:cstheme="minorHAnsi"/>
                <w:b/>
                <w:bCs/>
              </w:rPr>
              <w:t>(</w:t>
            </w:r>
            <w:r w:rsidR="00287E47">
              <w:rPr>
                <w:rFonts w:eastAsiaTheme="minorEastAsia" w:cstheme="minorHAnsi"/>
                <w:b/>
                <w:bCs/>
              </w:rPr>
              <w:t>371/</w:t>
            </w:r>
            <w:r w:rsidR="6A80CBF2" w:rsidRPr="00FD5B96">
              <w:rPr>
                <w:rFonts w:eastAsiaTheme="minorEastAsia" w:cstheme="minorHAnsi"/>
                <w:b/>
                <w:bCs/>
              </w:rPr>
              <w:t>400 words)</w:t>
            </w:r>
          </w:p>
          <w:p w14:paraId="2702A7DD" w14:textId="1FBA3AB7" w:rsidR="4D76C2C4" w:rsidRPr="00FD5B96" w:rsidRDefault="4D76C2C4" w:rsidP="4D76C2C4">
            <w:pPr>
              <w:spacing w:line="259" w:lineRule="auto"/>
              <w:rPr>
                <w:rFonts w:eastAsiaTheme="minorEastAsia" w:cstheme="minorHAnsi"/>
                <w:b/>
                <w:bCs/>
              </w:rPr>
            </w:pPr>
          </w:p>
          <w:p w14:paraId="0D089A08" w14:textId="638CEA73" w:rsidR="4D76C2C4" w:rsidRPr="00FD5B96" w:rsidRDefault="4D76C2C4" w:rsidP="4D76C2C4">
            <w:pPr>
              <w:spacing w:line="259" w:lineRule="auto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07452E33" w14:textId="4361F355" w:rsidR="69A7B1AA" w:rsidRPr="00FD5B96" w:rsidRDefault="69A7B1AA" w:rsidP="0004564D">
            <w:pPr>
              <w:spacing w:before="240" w:line="276" w:lineRule="auto"/>
              <w:jc w:val="both"/>
              <w:rPr>
                <w:rFonts w:eastAsiaTheme="minorEastAsia" w:cstheme="minorHAnsi"/>
                <w:b/>
                <w:bCs/>
                <w:color w:val="000000" w:themeColor="text1"/>
              </w:rPr>
            </w:pPr>
            <w:r w:rsidRPr="00FD5B96">
              <w:rPr>
                <w:rFonts w:eastAsiaTheme="minorEastAsia" w:cstheme="minorHAnsi"/>
                <w:b/>
                <w:bCs/>
                <w:color w:val="000000" w:themeColor="text1"/>
              </w:rPr>
              <w:t>MU: UDL &amp; U. Building a Culture of Inclusion on campus</w:t>
            </w:r>
          </w:p>
          <w:p w14:paraId="0BA0B166" w14:textId="77777777" w:rsidR="00A91528" w:rsidRDefault="0FB2739F" w:rsidP="0004564D">
            <w:pPr>
              <w:spacing w:before="120" w:after="120" w:line="276" w:lineRule="auto"/>
              <w:jc w:val="both"/>
              <w:rPr>
                <w:rFonts w:eastAsiaTheme="minorEastAsia" w:cstheme="minorHAnsi"/>
                <w:color w:val="333333"/>
              </w:rPr>
            </w:pPr>
            <w:r w:rsidRPr="00FD5B96">
              <w:rPr>
                <w:rFonts w:eastAsiaTheme="minorEastAsia" w:cstheme="minorHAnsi"/>
                <w:color w:val="333333"/>
              </w:rPr>
              <w:t>Drawing from</w:t>
            </w:r>
            <w:r w:rsidR="0481B764" w:rsidRPr="00FD5B96">
              <w:rPr>
                <w:rFonts w:eastAsiaTheme="minorEastAsia" w:cstheme="minorHAnsi"/>
                <w:color w:val="333333"/>
              </w:rPr>
              <w:t xml:space="preserve"> Universal Design for Learning</w:t>
            </w:r>
            <w:r w:rsidR="1672A5A7" w:rsidRPr="00FD5B96">
              <w:rPr>
                <w:rFonts w:eastAsiaTheme="minorEastAsia" w:cstheme="minorHAnsi"/>
                <w:color w:val="333333"/>
              </w:rPr>
              <w:t xml:space="preserve"> (UDL)</w:t>
            </w:r>
            <w:r w:rsidR="0481B764" w:rsidRPr="00FD5B96">
              <w:rPr>
                <w:rFonts w:eastAsiaTheme="minorEastAsia" w:cstheme="minorHAnsi"/>
                <w:color w:val="333333"/>
              </w:rPr>
              <w:t xml:space="preserve"> principles in teaching, learning and assessment practices is an important element of Maynooth University’s commitment to the provision of a more inclusive learning environment and experience for all our students. </w:t>
            </w:r>
          </w:p>
          <w:p w14:paraId="169BC879" w14:textId="256D0B63" w:rsidR="0FB2739F" w:rsidRPr="00FD5B96" w:rsidRDefault="00143AEA" w:rsidP="0004564D">
            <w:pPr>
              <w:spacing w:before="120" w:after="120" w:line="276" w:lineRule="auto"/>
              <w:jc w:val="both"/>
              <w:rPr>
                <w:rFonts w:eastAsiaTheme="minorEastAsia" w:cstheme="minorHAnsi"/>
                <w:color w:val="000000" w:themeColor="text1"/>
              </w:rPr>
            </w:pPr>
            <w:r w:rsidRPr="00FD5B96">
              <w:rPr>
                <w:rFonts w:eastAsiaTheme="minorEastAsia" w:cstheme="minorHAnsi"/>
                <w:color w:val="333333"/>
              </w:rPr>
              <w:lastRenderedPageBreak/>
              <w:t>To</w:t>
            </w:r>
            <w:r w:rsidR="22E71AD4" w:rsidRPr="00FD5B96">
              <w:rPr>
                <w:rFonts w:eastAsiaTheme="minorEastAsia" w:cstheme="minorHAnsi"/>
                <w:color w:val="333333"/>
              </w:rPr>
              <w:t xml:space="preserve"> </w:t>
            </w:r>
            <w:r w:rsidR="7DD751B7" w:rsidRPr="00FD5B96">
              <w:rPr>
                <w:rFonts w:eastAsiaTheme="minorEastAsia" w:cstheme="minorHAnsi"/>
                <w:color w:val="333333"/>
              </w:rPr>
              <w:t xml:space="preserve">support the University community </w:t>
            </w:r>
            <w:r>
              <w:rPr>
                <w:rFonts w:eastAsiaTheme="minorEastAsia" w:cstheme="minorHAnsi"/>
                <w:color w:val="333333"/>
              </w:rPr>
              <w:t>in</w:t>
            </w:r>
            <w:r w:rsidR="7DD751B7" w:rsidRPr="00FD5B96">
              <w:rPr>
                <w:rFonts w:eastAsiaTheme="minorEastAsia" w:cstheme="minorHAnsi"/>
                <w:color w:val="333333"/>
              </w:rPr>
              <w:t xml:space="preserve"> </w:t>
            </w:r>
            <w:r w:rsidR="00967DDB">
              <w:rPr>
                <w:rFonts w:eastAsiaTheme="minorEastAsia" w:cstheme="minorHAnsi"/>
                <w:color w:val="333333"/>
              </w:rPr>
              <w:t>leveraging</w:t>
            </w:r>
            <w:r w:rsidR="65383733" w:rsidRPr="00FD5B96">
              <w:rPr>
                <w:rFonts w:eastAsiaTheme="minorEastAsia" w:cstheme="minorHAnsi"/>
                <w:color w:val="333333"/>
              </w:rPr>
              <w:t xml:space="preserve"> </w:t>
            </w:r>
            <w:r w:rsidR="7DD751B7" w:rsidRPr="00FD5B96">
              <w:rPr>
                <w:rFonts w:eastAsiaTheme="minorEastAsia" w:cstheme="minorHAnsi"/>
                <w:color w:val="333333"/>
              </w:rPr>
              <w:t xml:space="preserve">the potential </w:t>
            </w:r>
            <w:r w:rsidR="00CE6ED9">
              <w:rPr>
                <w:rFonts w:eastAsiaTheme="minorEastAsia" w:cstheme="minorHAnsi"/>
                <w:color w:val="333333"/>
              </w:rPr>
              <w:t xml:space="preserve">of </w:t>
            </w:r>
            <w:r w:rsidR="7DD751B7" w:rsidRPr="00FD5B96">
              <w:rPr>
                <w:rFonts w:eastAsiaTheme="minorEastAsia" w:cstheme="minorHAnsi"/>
                <w:color w:val="333333"/>
              </w:rPr>
              <w:t xml:space="preserve">UDL </w:t>
            </w:r>
            <w:r w:rsidR="008E0185">
              <w:rPr>
                <w:rFonts w:eastAsiaTheme="minorEastAsia" w:cstheme="minorHAnsi"/>
                <w:color w:val="333333"/>
              </w:rPr>
              <w:t>in fostering</w:t>
            </w:r>
            <w:r w:rsidR="7DD751B7" w:rsidRPr="00FD5B96">
              <w:rPr>
                <w:rFonts w:eastAsiaTheme="minorEastAsia" w:cstheme="minorHAnsi"/>
                <w:color w:val="333333"/>
              </w:rPr>
              <w:t xml:space="preserve"> inclusive teaching and learning practice</w:t>
            </w:r>
            <w:r w:rsidR="002E2143">
              <w:rPr>
                <w:rFonts w:eastAsiaTheme="minorEastAsia" w:cstheme="minorHAnsi"/>
                <w:color w:val="333333"/>
              </w:rPr>
              <w:t>,</w:t>
            </w:r>
            <w:r w:rsidR="49E87A76" w:rsidRPr="00FD5B96">
              <w:rPr>
                <w:rFonts w:eastAsiaTheme="minorEastAsia" w:cstheme="minorHAnsi"/>
                <w:color w:val="000000" w:themeColor="text1"/>
              </w:rPr>
              <w:t xml:space="preserve"> the Centre for Teaching and Learning (CTL)</w:t>
            </w:r>
            <w:r w:rsidR="7309EB24" w:rsidRPr="00FD5B96">
              <w:rPr>
                <w:rFonts w:eastAsiaTheme="minorEastAsia" w:cstheme="minorHAnsi"/>
                <w:color w:val="000000" w:themeColor="text1"/>
              </w:rPr>
              <w:t xml:space="preserve"> worked with UDL T&amp;L Fellows from all three Faculties </w:t>
            </w:r>
            <w:r w:rsidR="00726B57" w:rsidRPr="00FD5B96">
              <w:rPr>
                <w:rFonts w:eastAsiaTheme="minorEastAsia" w:cstheme="minorHAnsi"/>
                <w:color w:val="000000" w:themeColor="text1"/>
              </w:rPr>
              <w:t>to</w:t>
            </w:r>
            <w:r w:rsidR="7309EB24" w:rsidRPr="00FD5B96">
              <w:rPr>
                <w:rFonts w:eastAsiaTheme="minorEastAsia" w:cstheme="minorHAnsi"/>
                <w:color w:val="000000" w:themeColor="text1"/>
              </w:rPr>
              <w:t xml:space="preserve"> co-design</w:t>
            </w:r>
            <w:r w:rsidR="266319CD" w:rsidRPr="00FD5B96">
              <w:rPr>
                <w:rFonts w:eastAsiaTheme="minorEastAsia" w:cstheme="minorHAnsi"/>
                <w:color w:val="000000" w:themeColor="text1"/>
              </w:rPr>
              <w:t xml:space="preserve"> the</w:t>
            </w:r>
            <w:r w:rsidR="7309EB24" w:rsidRPr="00FD5B96"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="4E0A3D4B" w:rsidRPr="00FD5B96">
              <w:rPr>
                <w:rFonts w:eastAsiaTheme="minorEastAsia" w:cstheme="minorHAnsi"/>
                <w:color w:val="000000" w:themeColor="text1"/>
              </w:rPr>
              <w:t>‘</w:t>
            </w:r>
            <w:r w:rsidR="7309EB24" w:rsidRPr="00FD5B96">
              <w:rPr>
                <w:rFonts w:eastAsiaTheme="minorEastAsia" w:cstheme="minorHAnsi"/>
                <w:color w:val="000000" w:themeColor="text1"/>
              </w:rPr>
              <w:t>MU</w:t>
            </w:r>
            <w:r w:rsidR="73629147" w:rsidRPr="00FD5B96">
              <w:rPr>
                <w:rFonts w:eastAsiaTheme="minorEastAsia" w:cstheme="minorHAnsi"/>
                <w:color w:val="000000" w:themeColor="text1"/>
              </w:rPr>
              <w:t>:</w:t>
            </w:r>
            <w:r w:rsidR="7309EB24" w:rsidRPr="00FD5B96">
              <w:rPr>
                <w:rFonts w:eastAsiaTheme="minorEastAsia" w:cstheme="minorHAnsi"/>
                <w:color w:val="000000" w:themeColor="text1"/>
              </w:rPr>
              <w:t xml:space="preserve"> UDL &amp; U. Building a Culture of Inclus</w:t>
            </w:r>
            <w:r w:rsidR="4E7581BA" w:rsidRPr="00FD5B96">
              <w:rPr>
                <w:rFonts w:eastAsiaTheme="minorEastAsia" w:cstheme="minorHAnsi"/>
                <w:color w:val="000000" w:themeColor="text1"/>
              </w:rPr>
              <w:t>ion on campus</w:t>
            </w:r>
            <w:r w:rsidR="03FB30CB" w:rsidRPr="00FD5B96">
              <w:rPr>
                <w:rFonts w:eastAsiaTheme="minorEastAsia" w:cstheme="minorHAnsi"/>
                <w:color w:val="000000" w:themeColor="text1"/>
              </w:rPr>
              <w:t>’</w:t>
            </w:r>
            <w:r w:rsidR="4E7581BA" w:rsidRPr="00FD5B96">
              <w:rPr>
                <w:rFonts w:eastAsiaTheme="minorEastAsia" w:cstheme="minorHAnsi"/>
                <w:color w:val="000000" w:themeColor="text1"/>
              </w:rPr>
              <w:t xml:space="preserve"> initiative</w:t>
            </w:r>
            <w:r w:rsidR="00726B57" w:rsidRPr="00FD5B96">
              <w:rPr>
                <w:rFonts w:eastAsiaTheme="minorEastAsia" w:cstheme="minorHAnsi"/>
                <w:color w:val="000000" w:themeColor="text1"/>
              </w:rPr>
              <w:t>.</w:t>
            </w:r>
          </w:p>
          <w:p w14:paraId="65655F6C" w14:textId="3A24A86F" w:rsidR="49E87A76" w:rsidRPr="00FD5B96" w:rsidRDefault="49E87A76" w:rsidP="0004564D">
            <w:pPr>
              <w:spacing w:before="120" w:after="120" w:line="276" w:lineRule="auto"/>
              <w:rPr>
                <w:rFonts w:eastAsiaTheme="minorEastAsia" w:cstheme="minorHAnsi"/>
                <w:color w:val="000000" w:themeColor="text1"/>
              </w:rPr>
            </w:pPr>
            <w:r w:rsidRPr="00FD5B96">
              <w:rPr>
                <w:rFonts w:eastAsiaTheme="minorEastAsia" w:cstheme="minorHAnsi"/>
                <w:color w:val="000000" w:themeColor="text1"/>
              </w:rPr>
              <w:t>To date the team has:</w:t>
            </w:r>
          </w:p>
          <w:p w14:paraId="6F9850A5" w14:textId="6D0CB38B" w:rsidR="49E87A76" w:rsidRPr="00FD5B96" w:rsidRDefault="49E87A76" w:rsidP="0004564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Theme="minorEastAsia" w:cstheme="minorHAnsi"/>
                <w:color w:val="000000" w:themeColor="text1"/>
              </w:rPr>
            </w:pPr>
            <w:r w:rsidRPr="00FD5B96">
              <w:rPr>
                <w:rFonts w:eastAsiaTheme="minorEastAsia" w:cstheme="minorHAnsi"/>
                <w:color w:val="000000" w:themeColor="text1"/>
              </w:rPr>
              <w:t xml:space="preserve">Created a </w:t>
            </w:r>
            <w:hyperlink r:id="rId17">
              <w:r w:rsidRPr="00FD5B96">
                <w:rPr>
                  <w:rStyle w:val="Hyperlink"/>
                  <w:rFonts w:eastAsiaTheme="minorEastAsia" w:cstheme="minorHAnsi"/>
                  <w:color w:val="0000FF"/>
                </w:rPr>
                <w:t>hub of resources</w:t>
              </w:r>
            </w:hyperlink>
            <w:r w:rsidRPr="00FD5B96">
              <w:rPr>
                <w:rFonts w:eastAsiaTheme="minorEastAsia" w:cstheme="minorHAnsi"/>
                <w:color w:val="000000" w:themeColor="text1"/>
              </w:rPr>
              <w:t xml:space="preserve"> including six Creative Commons </w:t>
            </w:r>
            <w:r w:rsidR="00726B57" w:rsidRPr="00FD5B96">
              <w:rPr>
                <w:rFonts w:eastAsiaTheme="minorEastAsia" w:cstheme="minorHAnsi"/>
                <w:color w:val="000000" w:themeColor="text1"/>
              </w:rPr>
              <w:t>licensed</w:t>
            </w:r>
            <w:r w:rsidRPr="00FD5B96">
              <w:rPr>
                <w:rFonts w:eastAsiaTheme="minorEastAsia" w:cstheme="minorHAnsi"/>
                <w:color w:val="000000" w:themeColor="text1"/>
              </w:rPr>
              <w:t xml:space="preserve"> Open Education Resources (OER), 12 Plus One how-to </w:t>
            </w:r>
            <w:r w:rsidR="63F4BB6E" w:rsidRPr="00FD5B96">
              <w:rPr>
                <w:rFonts w:eastAsiaTheme="minorEastAsia" w:cstheme="minorHAnsi"/>
                <w:color w:val="000000" w:themeColor="text1"/>
              </w:rPr>
              <w:t>guides,</w:t>
            </w:r>
            <w:r w:rsidR="3F6EF53A" w:rsidRPr="00FD5B96"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="00AD1ECC" w:rsidRPr="00FD5B96">
              <w:rPr>
                <w:rFonts w:eastAsiaTheme="minorEastAsia" w:cstheme="minorHAnsi"/>
                <w:color w:val="000000" w:themeColor="text1"/>
              </w:rPr>
              <w:t>six</w:t>
            </w:r>
            <w:r w:rsidR="3F6EF53A" w:rsidRPr="00FD5B96">
              <w:rPr>
                <w:rFonts w:eastAsiaTheme="minorEastAsia" w:cstheme="minorHAnsi"/>
                <w:color w:val="000000" w:themeColor="text1"/>
              </w:rPr>
              <w:t xml:space="preserve"> staff practice exemplars, </w:t>
            </w:r>
            <w:r w:rsidRPr="00FD5B96">
              <w:rPr>
                <w:rFonts w:eastAsiaTheme="minorEastAsia" w:cstheme="minorHAnsi"/>
                <w:color w:val="000000" w:themeColor="text1"/>
              </w:rPr>
              <w:t>and four MU</w:t>
            </w:r>
            <w:r w:rsidR="4E2DE868" w:rsidRPr="00FD5B96">
              <w:rPr>
                <w:rFonts w:eastAsiaTheme="minorEastAsia" w:cstheme="minorHAnsi"/>
                <w:color w:val="000000" w:themeColor="text1"/>
              </w:rPr>
              <w:t xml:space="preserve">: </w:t>
            </w:r>
            <w:r w:rsidRPr="00FD5B96">
              <w:rPr>
                <w:rFonts w:eastAsiaTheme="minorEastAsia" w:cstheme="minorHAnsi"/>
                <w:color w:val="000000" w:themeColor="text1"/>
              </w:rPr>
              <w:t>UDL &amp; ME UDL Fellows’ video insights to assist staff in learning about and applying UDL principles in their practice</w:t>
            </w:r>
          </w:p>
          <w:p w14:paraId="3677F587" w14:textId="4F9BC88B" w:rsidR="49E87A76" w:rsidRPr="00FD5B96" w:rsidRDefault="49E87A76" w:rsidP="0004564D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 w:cstheme="minorHAnsi"/>
                <w:color w:val="000000" w:themeColor="text1"/>
              </w:rPr>
            </w:pPr>
            <w:hyperlink r:id="rId18">
              <w:proofErr w:type="spellStart"/>
              <w:r w:rsidRPr="00FD5B96">
                <w:rPr>
                  <w:rStyle w:val="Hyperlink"/>
                  <w:rFonts w:eastAsia="Calibri" w:cstheme="minorHAnsi"/>
                  <w:color w:val="0000FF"/>
                  <w:sz w:val="20"/>
                  <w:szCs w:val="20"/>
                </w:rPr>
                <w:t>Organised</w:t>
              </w:r>
              <w:proofErr w:type="spellEnd"/>
              <w:r w:rsidRPr="00FD5B96">
                <w:rPr>
                  <w:rStyle w:val="Hyperlink"/>
                  <w:rFonts w:eastAsia="Calibri" w:cstheme="minorHAnsi"/>
                  <w:color w:val="0000FF"/>
                  <w:sz w:val="20"/>
                  <w:szCs w:val="20"/>
                </w:rPr>
                <w:t xml:space="preserve"> a </w:t>
              </w:r>
              <w:r w:rsidR="00A406B6" w:rsidRPr="00FD5B96">
                <w:rPr>
                  <w:rStyle w:val="Hyperlink"/>
                  <w:rFonts w:eastAsia="Calibri" w:cstheme="minorHAnsi"/>
                  <w:color w:val="0000FF"/>
                  <w:sz w:val="20"/>
                  <w:szCs w:val="20"/>
                </w:rPr>
                <w:t>four-week</w:t>
              </w:r>
              <w:r w:rsidRPr="00FD5B96">
                <w:rPr>
                  <w:rStyle w:val="Hyperlink"/>
                  <w:rFonts w:eastAsia="Calibri" w:cstheme="minorHAnsi"/>
                  <w:color w:val="0000FF"/>
                  <w:sz w:val="20"/>
                  <w:szCs w:val="20"/>
                </w:rPr>
                <w:t xml:space="preserve"> UDL Awareness Raising Campaign</w:t>
              </w:r>
            </w:hyperlink>
            <w:r w:rsidRPr="00FD5B96">
              <w:rPr>
                <w:rFonts w:eastAsiaTheme="minorEastAsia" w:cstheme="minorHAnsi"/>
                <w:color w:val="000000" w:themeColor="text1"/>
              </w:rPr>
              <w:t xml:space="preserve"> to </w:t>
            </w:r>
            <w:r w:rsidR="00A406B6">
              <w:rPr>
                <w:rFonts w:eastAsiaTheme="minorEastAsia" w:cstheme="minorHAnsi"/>
                <w:color w:val="000000" w:themeColor="text1"/>
              </w:rPr>
              <w:t xml:space="preserve">raise awareness of UDL principles </w:t>
            </w:r>
            <w:r w:rsidRPr="00FD5B96">
              <w:rPr>
                <w:rFonts w:eastAsiaTheme="minorEastAsia" w:cstheme="minorHAnsi"/>
                <w:color w:val="000000" w:themeColor="text1"/>
              </w:rPr>
              <w:t xml:space="preserve">and </w:t>
            </w:r>
            <w:r w:rsidR="00A406B6">
              <w:rPr>
                <w:rFonts w:eastAsiaTheme="minorEastAsia" w:cstheme="minorHAnsi"/>
                <w:color w:val="000000" w:themeColor="text1"/>
              </w:rPr>
              <w:t xml:space="preserve">to </w:t>
            </w:r>
            <w:r w:rsidRPr="00FD5B96">
              <w:rPr>
                <w:rFonts w:eastAsiaTheme="minorEastAsia" w:cstheme="minorHAnsi"/>
                <w:color w:val="000000" w:themeColor="text1"/>
              </w:rPr>
              <w:t>support staff to make small incremental changes to increase the inclusiveness of their teaching, learning and assessment practices</w:t>
            </w:r>
            <w:r w:rsidR="0E17B8EA" w:rsidRPr="00FD5B96">
              <w:rPr>
                <w:rFonts w:eastAsiaTheme="minorEastAsia" w:cstheme="minorHAnsi"/>
                <w:color w:val="000000" w:themeColor="text1"/>
              </w:rPr>
              <w:t>. This campaign will be run again in semester 2, 2024-25.</w:t>
            </w:r>
          </w:p>
          <w:p w14:paraId="08006F92" w14:textId="61AE97EC" w:rsidR="49E87A76" w:rsidRPr="00FD5B96" w:rsidRDefault="00C55E64" w:rsidP="0004564D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Facilitated</w:t>
            </w:r>
            <w:r w:rsidR="49E87A76" w:rsidRPr="00FD5B96">
              <w:rPr>
                <w:rFonts w:eastAsiaTheme="minorEastAsia" w:cstheme="minorHAnsi"/>
                <w:color w:val="000000" w:themeColor="text1"/>
              </w:rPr>
              <w:t xml:space="preserve"> t</w:t>
            </w:r>
            <w:r w:rsidR="7D0E1CDF" w:rsidRPr="00FD5B96">
              <w:rPr>
                <w:rFonts w:eastAsiaTheme="minorEastAsia" w:cstheme="minorHAnsi"/>
                <w:color w:val="000000" w:themeColor="text1"/>
              </w:rPr>
              <w:t>hree</w:t>
            </w:r>
            <w:r w:rsidR="49E87A76" w:rsidRPr="00FD5B96">
              <w:rPr>
                <w:rFonts w:eastAsiaTheme="minorEastAsia" w:cstheme="minorHAnsi"/>
                <w:color w:val="000000" w:themeColor="text1"/>
              </w:rPr>
              <w:t xml:space="preserve"> staff and student events: ‘Introduction to MU</w:t>
            </w:r>
            <w:r w:rsidR="722E9346" w:rsidRPr="00FD5B96">
              <w:rPr>
                <w:rFonts w:eastAsiaTheme="minorEastAsia" w:cstheme="minorHAnsi"/>
                <w:color w:val="000000" w:themeColor="text1"/>
              </w:rPr>
              <w:t>:</w:t>
            </w:r>
            <w:r w:rsidR="49E87A76" w:rsidRPr="00FD5B96">
              <w:rPr>
                <w:rFonts w:eastAsiaTheme="minorEastAsia" w:cstheme="minorHAnsi"/>
                <w:color w:val="000000" w:themeColor="text1"/>
              </w:rPr>
              <w:t xml:space="preserve"> UDL &amp; U’ during Maynooth University Social Justice Week</w:t>
            </w:r>
            <w:r w:rsidR="71481ED3" w:rsidRPr="00FD5B96">
              <w:rPr>
                <w:rFonts w:eastAsiaTheme="minorEastAsia" w:cstheme="minorHAnsi"/>
                <w:color w:val="000000" w:themeColor="text1"/>
              </w:rPr>
              <w:t xml:space="preserve">, </w:t>
            </w:r>
            <w:r w:rsidR="6BC24AB4" w:rsidRPr="00FD5B96">
              <w:rPr>
                <w:rFonts w:eastAsiaTheme="minorEastAsia" w:cstheme="minorHAnsi"/>
                <w:color w:val="000000" w:themeColor="text1"/>
              </w:rPr>
              <w:t>'</w:t>
            </w:r>
            <w:r w:rsidR="49E87A76" w:rsidRPr="00FD5B96">
              <w:rPr>
                <w:rFonts w:eastAsiaTheme="minorEastAsia" w:cstheme="minorHAnsi"/>
                <w:color w:val="000000" w:themeColor="text1"/>
              </w:rPr>
              <w:t>MU</w:t>
            </w:r>
            <w:r w:rsidR="7263C748" w:rsidRPr="00FD5B96">
              <w:rPr>
                <w:rFonts w:eastAsiaTheme="minorEastAsia" w:cstheme="minorHAnsi"/>
                <w:color w:val="000000" w:themeColor="text1"/>
              </w:rPr>
              <w:t xml:space="preserve">: </w:t>
            </w:r>
            <w:r w:rsidR="49E87A76" w:rsidRPr="00FD5B96">
              <w:rPr>
                <w:rFonts w:eastAsiaTheme="minorEastAsia" w:cstheme="minorHAnsi"/>
                <w:color w:val="000000" w:themeColor="text1"/>
              </w:rPr>
              <w:t>UDL &amp; U Open Mic’</w:t>
            </w:r>
            <w:r w:rsidR="32306B5E" w:rsidRPr="00FD5B96">
              <w:rPr>
                <w:rFonts w:eastAsiaTheme="minorEastAsia" w:cstheme="minorHAnsi"/>
                <w:color w:val="000000" w:themeColor="text1"/>
              </w:rPr>
              <w:t xml:space="preserve"> and ‘Creating a Culture of Inclusion in the Classroom: Research Foundations for Universal Design for Learning (UDL) &amp; Models of Good Practice’</w:t>
            </w:r>
          </w:p>
          <w:p w14:paraId="7367170A" w14:textId="02072D54" w:rsidR="49E87A76" w:rsidRPr="00FD5B96" w:rsidRDefault="49E87A76" w:rsidP="0004564D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 w:cstheme="minorHAnsi"/>
                <w:color w:val="000000" w:themeColor="text1"/>
              </w:rPr>
            </w:pPr>
            <w:r w:rsidRPr="00FD5B96">
              <w:rPr>
                <w:rFonts w:eastAsiaTheme="minorEastAsia" w:cstheme="minorHAnsi"/>
                <w:color w:val="000000" w:themeColor="text1"/>
              </w:rPr>
              <w:t>Liaised with senior leaders regarding inclusive education in Maynooth University</w:t>
            </w:r>
          </w:p>
          <w:p w14:paraId="05A162BB" w14:textId="51161AD7" w:rsidR="49E87A76" w:rsidRPr="00FD5B96" w:rsidRDefault="49E87A76" w:rsidP="0004564D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 w:cstheme="minorHAnsi"/>
                <w:color w:val="000000" w:themeColor="text1"/>
              </w:rPr>
            </w:pPr>
            <w:r w:rsidRPr="00FD5B96">
              <w:rPr>
                <w:rFonts w:eastAsiaTheme="minorEastAsia" w:cstheme="minorHAnsi"/>
                <w:color w:val="000000" w:themeColor="text1"/>
              </w:rPr>
              <w:t>Contributed to consultation around the Maynooth University Centre for Excellence in Inclusive Higher Education</w:t>
            </w:r>
          </w:p>
          <w:p w14:paraId="0A45E5D3" w14:textId="7FDB47F5" w:rsidR="49E87A76" w:rsidRPr="00FD5B96" w:rsidRDefault="49E87A76" w:rsidP="0004564D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 w:cstheme="minorHAnsi"/>
                <w:color w:val="000000" w:themeColor="text1"/>
              </w:rPr>
            </w:pPr>
            <w:r w:rsidRPr="00FD5B96">
              <w:rPr>
                <w:rFonts w:eastAsiaTheme="minorEastAsia" w:cstheme="minorHAnsi"/>
                <w:color w:val="000000" w:themeColor="text1"/>
              </w:rPr>
              <w:t xml:space="preserve">Worked with international reviewers and hosted an international speaker for two staff professional learning events </w:t>
            </w:r>
          </w:p>
          <w:p w14:paraId="5B36BCAD" w14:textId="474DF88F" w:rsidR="49E87A76" w:rsidRPr="00FD5B96" w:rsidRDefault="49E87A76" w:rsidP="0004564D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 w:cstheme="minorHAnsi"/>
                <w:b/>
                <w:bCs/>
                <w:color w:val="000000" w:themeColor="text1"/>
              </w:rPr>
            </w:pPr>
            <w:r w:rsidRPr="00FD5B96">
              <w:rPr>
                <w:rFonts w:eastAsiaTheme="minorEastAsia" w:cstheme="minorHAnsi"/>
                <w:color w:val="000000" w:themeColor="text1"/>
              </w:rPr>
              <w:t>Presented at three international conferences: ‘</w:t>
            </w:r>
            <w:hyperlink r:id="rId19">
              <w:r w:rsidRPr="00FD5B96">
                <w:rPr>
                  <w:rStyle w:val="Hyperlink"/>
                  <w:rFonts w:eastAsiaTheme="minorEastAsia" w:cstheme="minorHAnsi"/>
                  <w:b/>
                  <w:bCs/>
                  <w:color w:val="0000FF"/>
                </w:rPr>
                <w:t>Power of Potential: Sharing Experiences from Universal Design for Learning (UDL) Journeys’, University of Worcester, UK,  June 2024</w:t>
              </w:r>
            </w:hyperlink>
            <w:r w:rsidRPr="00FD5B96">
              <w:rPr>
                <w:rFonts w:eastAsiaTheme="minorEastAsia" w:cstheme="minorHAnsi"/>
                <w:b/>
                <w:bCs/>
                <w:color w:val="000000" w:themeColor="text1"/>
              </w:rPr>
              <w:t>; ‘</w:t>
            </w:r>
            <w:hyperlink r:id="rId20">
              <w:r w:rsidRPr="00FD5B96">
                <w:rPr>
                  <w:rStyle w:val="Hyperlink"/>
                  <w:rFonts w:eastAsiaTheme="minorEastAsia" w:cstheme="minorHAnsi"/>
                  <w:b/>
                  <w:bCs/>
                </w:rPr>
                <w:t xml:space="preserve">The 2nd International UDL Symposium. </w:t>
              </w:r>
              <w:r w:rsidRPr="00FD5B96">
                <w:rPr>
                  <w:rStyle w:val="Hyperlink"/>
                  <w:rFonts w:eastAsiaTheme="minorEastAsia" w:cstheme="minorHAnsi"/>
                  <w:b/>
                  <w:bCs/>
                  <w:color w:val="0000FF"/>
                  <w:lang w:val="en-GB"/>
                </w:rPr>
                <w:t>Including Every Learner: In the school, in the home, in alternative learning setting’</w:t>
              </w:r>
            </w:hyperlink>
            <w:r w:rsidRPr="00FD5B96">
              <w:rPr>
                <w:rFonts w:eastAsiaTheme="minorEastAsia" w:cstheme="minorHAnsi"/>
                <w:b/>
                <w:bCs/>
                <w:color w:val="000000" w:themeColor="text1"/>
              </w:rPr>
              <w:t>, Maynooth University, September 2024;  ‘</w:t>
            </w:r>
            <w:hyperlink r:id="rId21" w:anchor=":~:text=We%20are%20happy%20to%20welcome,September%205%2D7%2C%202024.">
              <w:r w:rsidRPr="00FD5B96">
                <w:rPr>
                  <w:rStyle w:val="Hyperlink"/>
                  <w:rFonts w:eastAsiaTheme="minorEastAsia" w:cstheme="minorHAnsi"/>
                  <w:b/>
                  <w:bCs/>
                  <w:color w:val="0000FF"/>
                </w:rPr>
                <w:t>ECRICE 2024, the 16 European Conference on Research in Chemical Education’</w:t>
              </w:r>
            </w:hyperlink>
            <w:r w:rsidRPr="00FD5B96">
              <w:rPr>
                <w:rFonts w:eastAsiaTheme="minorEastAsia" w:cstheme="minorHAnsi"/>
                <w:b/>
                <w:bCs/>
                <w:color w:val="000000" w:themeColor="text1"/>
              </w:rPr>
              <w:t>, Lisbon, September 2024</w:t>
            </w:r>
          </w:p>
          <w:p w14:paraId="5B33DF7E" w14:textId="07C378FC" w:rsidR="49E87A76" w:rsidRPr="00FD5B96" w:rsidRDefault="031C8119" w:rsidP="0004564D">
            <w:pPr>
              <w:spacing w:line="276" w:lineRule="auto"/>
              <w:jc w:val="both"/>
              <w:rPr>
                <w:rFonts w:eastAsiaTheme="minorEastAsia" w:cstheme="minorHAnsi"/>
                <w:color w:val="000000" w:themeColor="text1"/>
              </w:rPr>
            </w:pPr>
            <w:r w:rsidRPr="00FD5B96">
              <w:rPr>
                <w:rFonts w:eastAsiaTheme="minorEastAsia" w:cstheme="minorHAnsi"/>
                <w:color w:val="000000" w:themeColor="text1"/>
              </w:rPr>
              <w:t xml:space="preserve">Phase 2 of the project runs in academic year 2024-25 with ongoing development and dissemination of resources, a re-run of the </w:t>
            </w:r>
            <w:r w:rsidR="00281D5B" w:rsidRPr="00FD5B96">
              <w:rPr>
                <w:rFonts w:eastAsiaTheme="minorEastAsia" w:cstheme="minorHAnsi"/>
                <w:color w:val="000000" w:themeColor="text1"/>
              </w:rPr>
              <w:t>MU: UDL &amp; U C</w:t>
            </w:r>
            <w:r w:rsidRPr="00FD5B96">
              <w:rPr>
                <w:rFonts w:eastAsiaTheme="minorEastAsia" w:cstheme="minorHAnsi"/>
                <w:color w:val="000000" w:themeColor="text1"/>
              </w:rPr>
              <w:t xml:space="preserve">ampaign, </w:t>
            </w:r>
            <w:r w:rsidR="59390FF0" w:rsidRPr="00FD5B96">
              <w:rPr>
                <w:rFonts w:eastAsiaTheme="minorEastAsia" w:cstheme="minorHAnsi"/>
                <w:color w:val="000000" w:themeColor="text1"/>
              </w:rPr>
              <w:t xml:space="preserve">and end of project reporting including recommendations for future work. </w:t>
            </w:r>
          </w:p>
        </w:tc>
      </w:tr>
      <w:tr w:rsidR="4D76C2C4" w:rsidRPr="00FD5B96" w14:paraId="4D87ECDB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A3FFF18" w14:textId="114B648F" w:rsidR="26DDE489" w:rsidRPr="00FD5B96" w:rsidRDefault="26DDE489" w:rsidP="4D76C2C4">
            <w:pPr>
              <w:spacing w:line="259" w:lineRule="auto"/>
              <w:rPr>
                <w:rFonts w:eastAsiaTheme="minorEastAsia" w:cstheme="minorHAnsi"/>
                <w:b/>
                <w:bCs/>
                <w:color w:val="000000" w:themeColor="text1"/>
                <w:lang w:val="en-IE"/>
              </w:rPr>
            </w:pPr>
            <w:r w:rsidRPr="00FD5B96">
              <w:rPr>
                <w:rFonts w:eastAsiaTheme="minorEastAsia" w:cstheme="minorHAnsi"/>
                <w:b/>
                <w:bCs/>
                <w:color w:val="000000" w:themeColor="text1"/>
                <w:lang w:val="en-IE"/>
              </w:rPr>
              <w:lastRenderedPageBreak/>
              <w:t xml:space="preserve">Did you collaborate with internal and/or external stakeholders to deliver? </w:t>
            </w:r>
          </w:p>
          <w:p w14:paraId="724E4DDB" w14:textId="4974B5AD" w:rsidR="4D76C2C4" w:rsidRPr="00FD5B96" w:rsidRDefault="4D76C2C4" w:rsidP="4D76C2C4">
            <w:pPr>
              <w:spacing w:line="259" w:lineRule="auto"/>
              <w:rPr>
                <w:rFonts w:eastAsiaTheme="minorEastAsia" w:cstheme="minorHAnsi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0449D492" w14:textId="43D381B6" w:rsidR="006A77B1" w:rsidRPr="00FD5B96" w:rsidRDefault="00820248" w:rsidP="791A740F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>
              <w:rPr>
                <w:rFonts w:eastAsiaTheme="minorEastAsia" w:cstheme="minorHAnsi"/>
                <w:color w:val="3B3838" w:themeColor="background2" w:themeShade="40"/>
                <w:lang w:val="en-IE"/>
              </w:rPr>
              <w:t>MU</w:t>
            </w:r>
            <w:r w:rsidR="00281D5B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</w:t>
            </w:r>
            <w:r w:rsidR="62C37C21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Staff and students</w:t>
            </w:r>
          </w:p>
          <w:p w14:paraId="48BB5B42" w14:textId="263EC4E8" w:rsidR="006A77B1" w:rsidRPr="00FD5B96" w:rsidRDefault="62C37C21" w:rsidP="791A740F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All three </w:t>
            </w:r>
            <w:r w:rsidR="00281D5B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MU 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Faculties </w:t>
            </w:r>
          </w:p>
          <w:p w14:paraId="3B18460A" w14:textId="0D411BF3" w:rsidR="006A77B1" w:rsidRDefault="62C37C21" w:rsidP="49E87A76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Maynooth Access Programme (MAP)</w:t>
            </w:r>
          </w:p>
          <w:p w14:paraId="672B2BAE" w14:textId="77777777" w:rsidR="00EA0D3F" w:rsidRPr="00FD5B96" w:rsidRDefault="00EA0D3F" w:rsidP="00EA0D3F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>
              <w:rPr>
                <w:rFonts w:eastAsiaTheme="minorEastAsia" w:cstheme="minorHAnsi"/>
                <w:color w:val="3B3838" w:themeColor="background2" w:themeShade="40"/>
                <w:lang w:val="en-IE"/>
              </w:rPr>
              <w:t>Vice-President for Students and Learning</w:t>
            </w:r>
          </w:p>
          <w:p w14:paraId="04EBDA87" w14:textId="6E1C03E2" w:rsidR="00EA0D3F" w:rsidRPr="00FD5B96" w:rsidRDefault="00EA0D3F" w:rsidP="49E87A76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Associate Deans for Teaching and Learning </w:t>
            </w:r>
          </w:p>
          <w:p w14:paraId="6150C790" w14:textId="06D709B5" w:rsidR="006A77B1" w:rsidRPr="00FD5B96" w:rsidRDefault="62C37C21" w:rsidP="49E87A76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lastRenderedPageBreak/>
              <w:t>Office of the Vice President for Equality and Diversity</w:t>
            </w:r>
          </w:p>
          <w:p w14:paraId="1586CC48" w14:textId="12A501A4" w:rsidR="006A77B1" w:rsidRPr="00FD5B96" w:rsidRDefault="62C37C21" w:rsidP="49E87A76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Student Skills and Success</w:t>
            </w:r>
          </w:p>
          <w:p w14:paraId="00692C9E" w14:textId="6AD5736C" w:rsidR="006A77B1" w:rsidRPr="00FD5B96" w:rsidRDefault="62C37C21" w:rsidP="49E87A76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The Maynooth University Social Justice Week Steering Group</w:t>
            </w:r>
          </w:p>
          <w:p w14:paraId="7A5A4022" w14:textId="3CC0479B" w:rsidR="006A77B1" w:rsidRDefault="00D84235" w:rsidP="791A740F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Maynooth </w:t>
            </w:r>
            <w:r w:rsidR="17E28867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U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niversity </w:t>
            </w:r>
            <w:r w:rsidR="62C37C21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Library</w:t>
            </w:r>
          </w:p>
          <w:p w14:paraId="7930B9DC" w14:textId="2036C420" w:rsidR="006A77B1" w:rsidRPr="00FD5B96" w:rsidRDefault="7DC3D1D2" w:rsidP="49E87A76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External experts as reviewers of project outputs </w:t>
            </w:r>
          </w:p>
          <w:p w14:paraId="08DD684E" w14:textId="2D19014F" w:rsidR="006A77B1" w:rsidRPr="00FD5B96" w:rsidRDefault="2F65C099" w:rsidP="49E87A76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Independent Researcher on commissioned research </w:t>
            </w:r>
          </w:p>
          <w:p w14:paraId="6A7138D7" w14:textId="401664B1" w:rsidR="006A77B1" w:rsidRPr="00FD5B96" w:rsidRDefault="07CB10FC" w:rsidP="791A740F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highlight w:val="yellow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HEA through PATH4 Funding</w:t>
            </w:r>
          </w:p>
        </w:tc>
      </w:tr>
      <w:tr w:rsidR="4D76C2C4" w:rsidRPr="00FD5B96" w14:paraId="2ADBBECD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5FCD7381" w14:textId="1654BBA4" w:rsidR="00F77C41" w:rsidRPr="00FD5B96" w:rsidRDefault="00F77C41" w:rsidP="00F77C41">
            <w:pPr>
              <w:spacing w:line="259" w:lineRule="auto"/>
              <w:rPr>
                <w:rFonts w:eastAsiaTheme="minorEastAsia" w:cstheme="minorHAnsi"/>
                <w:b/>
                <w:bCs/>
                <w:lang w:val="en-IE"/>
              </w:rPr>
            </w:pPr>
            <w:r w:rsidRPr="00FD5B96">
              <w:rPr>
                <w:rFonts w:eastAsiaTheme="minorEastAsia" w:cstheme="minorHAnsi"/>
                <w:b/>
                <w:bCs/>
                <w:lang w:val="en-IE"/>
              </w:rPr>
              <w:lastRenderedPageBreak/>
              <w:t>Organisation and Planning</w:t>
            </w:r>
          </w:p>
          <w:p w14:paraId="09107B22" w14:textId="08131323" w:rsidR="4D76C2C4" w:rsidRPr="00FD5B96" w:rsidRDefault="4D76C2C4" w:rsidP="4D76C2C4">
            <w:pPr>
              <w:spacing w:line="259" w:lineRule="auto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6EA00AE7" w14:textId="540B2173" w:rsidR="3AC7F2D8" w:rsidRPr="00FD5B96" w:rsidRDefault="3AC7F2D8" w:rsidP="791A740F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Project </w:t>
            </w:r>
            <w:r w:rsidR="006963F9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design and 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management was </w:t>
            </w:r>
            <w:r w:rsidR="006963F9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led 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by </w:t>
            </w:r>
            <w:r w:rsidR="006963F9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the 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Centre for Teaching and Learning</w:t>
            </w:r>
            <w:r w:rsidR="5C028BDF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in consultation with MAP</w:t>
            </w:r>
            <w:r w:rsidR="006963F9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(Path 4 Lead).</w:t>
            </w:r>
          </w:p>
          <w:p w14:paraId="2768337B" w14:textId="00C3ED9E" w:rsidR="006A77B1" w:rsidRPr="00FD5B96" w:rsidRDefault="006A77B1" w:rsidP="4D76C2C4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</w:p>
        </w:tc>
      </w:tr>
      <w:tr w:rsidR="4D76C2C4" w:rsidRPr="00FD5B96" w14:paraId="33795CBD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246A799F" w14:textId="3527E8B5" w:rsidR="0F40D9B9" w:rsidRPr="00FD5B96" w:rsidRDefault="0F40D9B9" w:rsidP="4D76C2C4">
            <w:pPr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>What resources did you need?</w:t>
            </w:r>
          </w:p>
          <w:p w14:paraId="6BF58664" w14:textId="51EB3D11" w:rsidR="4D76C2C4" w:rsidRPr="00FD5B96" w:rsidRDefault="4D76C2C4" w:rsidP="4D76C2C4">
            <w:pPr>
              <w:spacing w:line="259" w:lineRule="auto"/>
              <w:rPr>
                <w:rFonts w:eastAsiaTheme="minorEastAsia" w:cstheme="minorHAnsi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0C0F0CB0" w14:textId="3DF11724" w:rsidR="0033716F" w:rsidRPr="003F589F" w:rsidRDefault="7123623C" w:rsidP="003F589F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PATH 4 Funding to support the appointment of UDL Teaching and Learning Fellows from each of the three Faculties, </w:t>
            </w:r>
            <w:r w:rsidR="419CC456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the </w:t>
            </w:r>
            <w:r w:rsidR="00651CA0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design and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produc</w:t>
            </w:r>
            <w:r w:rsidR="4F4812FE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tion of Open Education Resources, review work with international experts, staff events and the MU: </w:t>
            </w:r>
            <w:r w:rsidR="54AED99B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UDL &amp; U campaign, </w:t>
            </w:r>
            <w:r w:rsidR="4F4812FE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attendance at national and international conferences</w:t>
            </w:r>
            <w:r w:rsidR="25E0645F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.</w:t>
            </w:r>
          </w:p>
          <w:p w14:paraId="2F642E8D" w14:textId="77777777" w:rsidR="003F589F" w:rsidRDefault="0033716F" w:rsidP="003F589F">
            <w:pPr>
              <w:numPr>
                <w:ilvl w:val="0"/>
                <w:numId w:val="7"/>
              </w:numPr>
              <w:spacing w:line="259" w:lineRule="auto"/>
              <w:ind w:left="360"/>
              <w:jc w:val="both"/>
              <w:rPr>
                <w:rFonts w:eastAsiaTheme="minorEastAsia" w:cstheme="minorHAnsi"/>
                <w:b/>
                <w:bCs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SATLE Funding </w:t>
            </w:r>
            <w:r w:rsidR="00852948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to </w:t>
            </w:r>
            <w:r w:rsidR="00AF1D76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support </w:t>
            </w:r>
            <w:r w:rsidR="76FF6DE4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the </w:t>
            </w:r>
            <w:r w:rsidR="00AF1D76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co-sponsorship</w:t>
            </w:r>
            <w:r w:rsidR="00852948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the ‘UDL International Symposium: Learning Together’, 8-9 June 2023</w:t>
            </w:r>
            <w:r w:rsidR="00651CA0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and </w:t>
            </w:r>
            <w:r w:rsidR="727D6D24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the c</w:t>
            </w:r>
            <w:r w:rsidR="00651CA0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ommissioned </w:t>
            </w:r>
            <w:r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research </w:t>
            </w:r>
            <w:r w:rsidR="00387D33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to explore the evidence </w:t>
            </w:r>
            <w:r w:rsidR="00273D1F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>on</w:t>
            </w:r>
            <w:r w:rsidR="00387D33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the effectiveness of UDL as an approach to creating more inclusive higher education practice</w:t>
            </w:r>
            <w:r w:rsidR="00273D1F" w:rsidRPr="00FD5B96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and a </w:t>
            </w:r>
            <w:r w:rsidR="00CF2FFC" w:rsidRPr="00FD5B96">
              <w:rPr>
                <w:rFonts w:cstheme="minorHAnsi"/>
              </w:rPr>
              <w:t>short review of models of good practice in embedding inclusive higher education in teaching and learning practice.</w:t>
            </w:r>
          </w:p>
          <w:p w14:paraId="2AC176E9" w14:textId="56BB8C8C" w:rsidR="006A77B1" w:rsidRPr="003F589F" w:rsidRDefault="25E0645F" w:rsidP="003F589F">
            <w:pPr>
              <w:numPr>
                <w:ilvl w:val="0"/>
                <w:numId w:val="7"/>
              </w:numPr>
              <w:spacing w:line="259" w:lineRule="auto"/>
              <w:ind w:left="360"/>
              <w:jc w:val="both"/>
              <w:rPr>
                <w:rFonts w:eastAsiaTheme="minorEastAsia" w:cstheme="minorHAnsi"/>
                <w:b/>
                <w:bCs/>
                <w:color w:val="3B3838" w:themeColor="background2" w:themeShade="40"/>
                <w:lang w:val="en-IE"/>
              </w:rPr>
            </w:pPr>
            <w:r w:rsidRPr="003F589F">
              <w:rPr>
                <w:rFonts w:eastAsiaTheme="minorEastAsia" w:cstheme="minorHAnsi"/>
                <w:color w:val="3B3838" w:themeColor="background2" w:themeShade="40"/>
                <w:lang w:val="en-IE"/>
              </w:rPr>
              <w:t>C</w:t>
            </w:r>
            <w:r w:rsidR="003F589F">
              <w:rPr>
                <w:rFonts w:eastAsiaTheme="minorEastAsia" w:cstheme="minorHAnsi"/>
                <w:color w:val="3B3838" w:themeColor="background2" w:themeShade="40"/>
                <w:lang w:val="en-IE"/>
              </w:rPr>
              <w:t>entre for Teaching and learning</w:t>
            </w:r>
            <w:r w:rsidRPr="003F589F">
              <w:rPr>
                <w:rFonts w:eastAsiaTheme="minorEastAsia" w:cstheme="minorHAnsi"/>
                <w:color w:val="3B3838" w:themeColor="background2" w:themeShade="40"/>
                <w:lang w:val="en-IE"/>
              </w:rPr>
              <w:t xml:space="preserve"> staff time to manage and support the achievement of the project.</w:t>
            </w:r>
          </w:p>
          <w:p w14:paraId="39977763" w14:textId="485961DF" w:rsidR="006A77B1" w:rsidRPr="00FD5B96" w:rsidRDefault="006A77B1" w:rsidP="791A740F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</w:p>
        </w:tc>
      </w:tr>
      <w:tr w:rsidR="4D76C2C4" w:rsidRPr="00FD5B96" w14:paraId="7F224A2A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03093D6" w14:textId="1FB0F7DE" w:rsidR="0F40D9B9" w:rsidRPr="00FD5B96" w:rsidRDefault="0F40D9B9" w:rsidP="4D76C2C4">
            <w:pPr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 xml:space="preserve">Has it been evaluated? How </w:t>
            </w:r>
            <w:r w:rsidR="006A77B1" w:rsidRPr="00FD5B96">
              <w:rPr>
                <w:rFonts w:eastAsiaTheme="minorEastAsia" w:cstheme="minorHAnsi"/>
                <w:b/>
                <w:bCs/>
              </w:rPr>
              <w:t>s</w:t>
            </w:r>
            <w:r w:rsidRPr="00FD5B96">
              <w:rPr>
                <w:rFonts w:eastAsiaTheme="minorEastAsia" w:cstheme="minorHAnsi"/>
                <w:b/>
                <w:bCs/>
              </w:rPr>
              <w:t>uccessful has it been?</w:t>
            </w:r>
            <w:r w:rsidR="682E8AFD" w:rsidRPr="00FD5B96">
              <w:rPr>
                <w:rFonts w:eastAsiaTheme="minorEastAsia" w:cstheme="minorHAnsi"/>
                <w:b/>
                <w:bCs/>
              </w:rPr>
              <w:t xml:space="preserve"> </w:t>
            </w:r>
          </w:p>
          <w:p w14:paraId="33D86CB8" w14:textId="1ECEEB98" w:rsidR="4D76C2C4" w:rsidRPr="00FD5B96" w:rsidRDefault="4D76C2C4" w:rsidP="4D76C2C4">
            <w:pPr>
              <w:spacing w:line="259" w:lineRule="auto"/>
              <w:rPr>
                <w:rFonts w:eastAsiaTheme="minorEastAsia" w:cstheme="minorHAnsi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552DEF59" w14:textId="693485A2" w:rsidR="006A77B1" w:rsidRPr="00FD5B96" w:rsidRDefault="1892B099" w:rsidP="49E87A76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</w:rPr>
              <w:t>In terms of impact, w</w:t>
            </w:r>
            <w:r w:rsidR="6313CBA0" w:rsidRPr="00FD5B96">
              <w:rPr>
                <w:rFonts w:eastAsiaTheme="minorEastAsia" w:cstheme="minorHAnsi"/>
                <w:color w:val="3B3838" w:themeColor="background2" w:themeShade="40"/>
              </w:rPr>
              <w:t xml:space="preserve">e have </w:t>
            </w:r>
          </w:p>
          <w:p w14:paraId="04C1C805" w14:textId="4E5C2076" w:rsidR="006A77B1" w:rsidRPr="00047C9F" w:rsidRDefault="6313CBA0" w:rsidP="00047C9F">
            <w:pPr>
              <w:pStyle w:val="ListParagraph"/>
              <w:numPr>
                <w:ilvl w:val="0"/>
                <w:numId w:val="3"/>
              </w:numPr>
              <w:spacing w:line="259" w:lineRule="auto"/>
              <w:jc w:val="both"/>
              <w:rPr>
                <w:rFonts w:eastAsiaTheme="minorEastAsia" w:cstheme="minorHAnsi"/>
                <w:color w:val="3B3838" w:themeColor="background2" w:themeShade="40"/>
              </w:rPr>
            </w:pPr>
            <w:r w:rsidRPr="00047C9F">
              <w:rPr>
                <w:rFonts w:eastAsiaTheme="minorEastAsia" w:cstheme="minorHAnsi"/>
                <w:color w:val="3B3838" w:themeColor="background2" w:themeShade="40"/>
              </w:rPr>
              <w:t xml:space="preserve">captured quantitative data that </w:t>
            </w:r>
            <w:r w:rsidR="004B1054" w:rsidRPr="00047C9F">
              <w:rPr>
                <w:rFonts w:eastAsiaTheme="minorEastAsia" w:cstheme="minorHAnsi"/>
                <w:color w:val="3B3838" w:themeColor="background2" w:themeShade="40"/>
              </w:rPr>
              <w:t xml:space="preserve">illustrates </w:t>
            </w:r>
            <w:r w:rsidRPr="00047C9F">
              <w:rPr>
                <w:rFonts w:eastAsiaTheme="minorEastAsia" w:cstheme="minorHAnsi"/>
                <w:color w:val="3B3838" w:themeColor="background2" w:themeShade="40"/>
              </w:rPr>
              <w:t xml:space="preserve">the number of colleagues who have participated in an </w:t>
            </w:r>
            <w:r w:rsidR="00B25A82" w:rsidRPr="00047C9F">
              <w:rPr>
                <w:rFonts w:eastAsiaTheme="minorEastAsia" w:cstheme="minorHAnsi"/>
                <w:color w:val="3B3838" w:themeColor="background2" w:themeShade="40"/>
              </w:rPr>
              <w:t>initiative activity/</w:t>
            </w:r>
            <w:r w:rsidRPr="00047C9F">
              <w:rPr>
                <w:rFonts w:eastAsiaTheme="minorEastAsia" w:cstheme="minorHAnsi"/>
                <w:color w:val="3B3838" w:themeColor="background2" w:themeShade="40"/>
              </w:rPr>
              <w:t>event where they learn</w:t>
            </w:r>
            <w:r w:rsidR="00047C9F">
              <w:rPr>
                <w:rFonts w:eastAsiaTheme="minorEastAsia" w:cstheme="minorHAnsi"/>
                <w:color w:val="3B3838" w:themeColor="background2" w:themeShade="40"/>
              </w:rPr>
              <w:t>ed</w:t>
            </w:r>
            <w:r w:rsidRPr="00047C9F">
              <w:rPr>
                <w:rFonts w:eastAsiaTheme="minorEastAsia" w:cstheme="minorHAnsi"/>
                <w:color w:val="3B3838" w:themeColor="background2" w:themeShade="40"/>
              </w:rPr>
              <w:t xml:space="preserve"> more about UDL in the context of inclusive education</w:t>
            </w:r>
          </w:p>
          <w:p w14:paraId="36FE600F" w14:textId="302188FA" w:rsidR="39BE6E5F" w:rsidRPr="00047C9F" w:rsidRDefault="31B0331F" w:rsidP="00047C9F">
            <w:pPr>
              <w:pStyle w:val="ListParagraph"/>
              <w:numPr>
                <w:ilvl w:val="0"/>
                <w:numId w:val="3"/>
              </w:numPr>
              <w:spacing w:line="259" w:lineRule="auto"/>
              <w:jc w:val="both"/>
              <w:rPr>
                <w:rFonts w:eastAsiaTheme="minorEastAsia" w:cstheme="minorHAnsi"/>
                <w:color w:val="3B3838" w:themeColor="background2" w:themeShade="40"/>
              </w:rPr>
            </w:pPr>
            <w:r w:rsidRPr="00047C9F">
              <w:rPr>
                <w:rFonts w:eastAsiaTheme="minorEastAsia" w:cstheme="minorHAnsi"/>
                <w:color w:val="3B3838" w:themeColor="background2" w:themeShade="40"/>
              </w:rPr>
              <w:t>b</w:t>
            </w:r>
            <w:r w:rsidR="39BE6E5F" w:rsidRPr="00047C9F">
              <w:rPr>
                <w:rFonts w:eastAsiaTheme="minorEastAsia" w:cstheme="minorHAnsi"/>
                <w:color w:val="3B3838" w:themeColor="background2" w:themeShade="40"/>
              </w:rPr>
              <w:t>uilt capacity in terms of institutional knowledge about UDL in the context of inclusive education through the development of a resource hub</w:t>
            </w:r>
            <w:r w:rsidR="00B25A82" w:rsidRPr="00047C9F">
              <w:rPr>
                <w:rFonts w:eastAsiaTheme="minorEastAsia" w:cstheme="minorHAnsi"/>
                <w:color w:val="3B3838" w:themeColor="background2" w:themeShade="40"/>
              </w:rPr>
              <w:t xml:space="preserve"> for staff</w:t>
            </w:r>
          </w:p>
          <w:p w14:paraId="2A1CEFBF" w14:textId="37775E4F" w:rsidR="39BE6E5F" w:rsidRPr="00047C9F" w:rsidRDefault="09160930" w:rsidP="00047C9F">
            <w:pPr>
              <w:pStyle w:val="ListParagraph"/>
              <w:numPr>
                <w:ilvl w:val="0"/>
                <w:numId w:val="3"/>
              </w:numPr>
              <w:spacing w:line="259" w:lineRule="auto"/>
              <w:jc w:val="both"/>
              <w:rPr>
                <w:rFonts w:eastAsiaTheme="minorEastAsia" w:cstheme="minorHAnsi"/>
                <w:color w:val="3B3838" w:themeColor="background2" w:themeShade="40"/>
              </w:rPr>
            </w:pPr>
            <w:r w:rsidRPr="00047C9F">
              <w:rPr>
                <w:rFonts w:eastAsiaTheme="minorEastAsia" w:cstheme="minorHAnsi"/>
                <w:color w:val="3B3838" w:themeColor="background2" w:themeShade="40"/>
              </w:rPr>
              <w:t>i</w:t>
            </w:r>
            <w:r w:rsidR="39BE6E5F" w:rsidRPr="00047C9F">
              <w:rPr>
                <w:rFonts w:eastAsiaTheme="minorEastAsia" w:cstheme="minorHAnsi"/>
                <w:color w:val="3B3838" w:themeColor="background2" w:themeShade="40"/>
              </w:rPr>
              <w:t xml:space="preserve">ntentionally brought inclusive education and UDL to the attention of the university Faculty T&amp;L Committees through </w:t>
            </w:r>
            <w:r w:rsidR="5A47CF2B" w:rsidRPr="00047C9F">
              <w:rPr>
                <w:rFonts w:eastAsiaTheme="minorEastAsia" w:cstheme="minorHAnsi"/>
                <w:color w:val="3B3838" w:themeColor="background2" w:themeShade="40"/>
              </w:rPr>
              <w:t>initiative</w:t>
            </w:r>
            <w:r w:rsidR="39BE6E5F" w:rsidRPr="00047C9F">
              <w:rPr>
                <w:rFonts w:eastAsiaTheme="minorEastAsia" w:cstheme="minorHAnsi"/>
                <w:color w:val="3B3838" w:themeColor="background2" w:themeShade="40"/>
              </w:rPr>
              <w:t xml:space="preserve"> activity</w:t>
            </w:r>
            <w:r w:rsidR="009C5D0E" w:rsidRPr="00047C9F">
              <w:rPr>
                <w:rFonts w:eastAsiaTheme="minorEastAsia" w:cstheme="minorHAnsi"/>
                <w:color w:val="3B3838" w:themeColor="background2" w:themeShade="40"/>
              </w:rPr>
              <w:t xml:space="preserve"> and dissemination</w:t>
            </w:r>
          </w:p>
          <w:p w14:paraId="481259C8" w14:textId="5AA52ABC" w:rsidR="39BE6E5F" w:rsidRPr="00047C9F" w:rsidRDefault="4B9EAE6C" w:rsidP="00047C9F">
            <w:pPr>
              <w:pStyle w:val="ListParagraph"/>
              <w:numPr>
                <w:ilvl w:val="0"/>
                <w:numId w:val="3"/>
              </w:numPr>
              <w:spacing w:line="259" w:lineRule="auto"/>
              <w:jc w:val="both"/>
              <w:rPr>
                <w:rFonts w:eastAsiaTheme="minorEastAsia" w:cstheme="minorHAnsi"/>
                <w:color w:val="3B3838" w:themeColor="background2" w:themeShade="40"/>
              </w:rPr>
            </w:pPr>
            <w:r w:rsidRPr="00047C9F">
              <w:rPr>
                <w:rFonts w:eastAsiaTheme="minorEastAsia" w:cstheme="minorHAnsi"/>
                <w:color w:val="3B3838" w:themeColor="background2" w:themeShade="40"/>
              </w:rPr>
              <w:t>c</w:t>
            </w:r>
            <w:r w:rsidR="39BE6E5F" w:rsidRPr="00047C9F">
              <w:rPr>
                <w:rFonts w:eastAsiaTheme="minorEastAsia" w:cstheme="minorHAnsi"/>
                <w:color w:val="3B3838" w:themeColor="background2" w:themeShade="40"/>
              </w:rPr>
              <w:t>ontribut</w:t>
            </w:r>
            <w:r w:rsidR="4969F39B" w:rsidRPr="00047C9F">
              <w:rPr>
                <w:rFonts w:eastAsiaTheme="minorEastAsia" w:cstheme="minorHAnsi"/>
                <w:color w:val="3B3838" w:themeColor="background2" w:themeShade="40"/>
              </w:rPr>
              <w:t>ed</w:t>
            </w:r>
            <w:r w:rsidR="39BE6E5F" w:rsidRPr="00047C9F">
              <w:rPr>
                <w:rFonts w:eastAsiaTheme="minorEastAsia" w:cstheme="minorHAnsi"/>
                <w:color w:val="3B3838" w:themeColor="background2" w:themeShade="40"/>
              </w:rPr>
              <w:t xml:space="preserve"> to inst</w:t>
            </w:r>
            <w:r w:rsidR="52120902" w:rsidRPr="00047C9F">
              <w:rPr>
                <w:rFonts w:eastAsiaTheme="minorEastAsia" w:cstheme="minorHAnsi"/>
                <w:color w:val="3B3838" w:themeColor="background2" w:themeShade="40"/>
              </w:rPr>
              <w:t>it</w:t>
            </w:r>
            <w:r w:rsidR="39BE6E5F" w:rsidRPr="00047C9F">
              <w:rPr>
                <w:rFonts w:eastAsiaTheme="minorEastAsia" w:cstheme="minorHAnsi"/>
                <w:color w:val="3B3838" w:themeColor="background2" w:themeShade="40"/>
              </w:rPr>
              <w:t>utional discussion around inclusive education by inviting colleagues from the Office of Vice President for Equality and D</w:t>
            </w:r>
            <w:r w:rsidR="4744916F" w:rsidRPr="00047C9F">
              <w:rPr>
                <w:rFonts w:eastAsiaTheme="minorEastAsia" w:cstheme="minorHAnsi"/>
                <w:color w:val="3B3838" w:themeColor="background2" w:themeShade="40"/>
              </w:rPr>
              <w:t xml:space="preserve">iversity to </w:t>
            </w:r>
            <w:r w:rsidR="55D57C24" w:rsidRPr="00047C9F">
              <w:rPr>
                <w:rFonts w:eastAsiaTheme="minorEastAsia" w:cstheme="minorHAnsi"/>
                <w:color w:val="3B3838" w:themeColor="background2" w:themeShade="40"/>
              </w:rPr>
              <w:t>participate</w:t>
            </w:r>
            <w:r w:rsidR="4744916F" w:rsidRPr="00047C9F">
              <w:rPr>
                <w:rFonts w:eastAsiaTheme="minorEastAsia" w:cstheme="minorHAnsi"/>
                <w:color w:val="3B3838" w:themeColor="background2" w:themeShade="40"/>
              </w:rPr>
              <w:t xml:space="preserve"> </w:t>
            </w:r>
            <w:r w:rsidR="33149967" w:rsidRPr="00047C9F">
              <w:rPr>
                <w:rFonts w:eastAsiaTheme="minorEastAsia" w:cstheme="minorHAnsi"/>
                <w:color w:val="3B3838" w:themeColor="background2" w:themeShade="40"/>
              </w:rPr>
              <w:t>in</w:t>
            </w:r>
            <w:r w:rsidR="4744916F" w:rsidRPr="00047C9F">
              <w:rPr>
                <w:rFonts w:eastAsiaTheme="minorEastAsia" w:cstheme="minorHAnsi"/>
                <w:color w:val="3B3838" w:themeColor="background2" w:themeShade="40"/>
              </w:rPr>
              <w:t xml:space="preserve"> events and initiative meetings</w:t>
            </w:r>
          </w:p>
          <w:p w14:paraId="3D8A1E69" w14:textId="76AAB245" w:rsidR="67EDFEF1" w:rsidRPr="00047C9F" w:rsidRDefault="61126A63" w:rsidP="00047C9F">
            <w:pPr>
              <w:pStyle w:val="ListParagraph"/>
              <w:numPr>
                <w:ilvl w:val="0"/>
                <w:numId w:val="3"/>
              </w:numPr>
              <w:spacing w:line="259" w:lineRule="auto"/>
              <w:jc w:val="both"/>
              <w:rPr>
                <w:rFonts w:eastAsiaTheme="minorEastAsia" w:cstheme="minorHAnsi"/>
                <w:color w:val="3B3838" w:themeColor="background2" w:themeShade="40"/>
              </w:rPr>
            </w:pPr>
            <w:r w:rsidRPr="00047C9F">
              <w:rPr>
                <w:rFonts w:eastAsiaTheme="minorEastAsia" w:cstheme="minorHAnsi"/>
                <w:color w:val="3B3838" w:themeColor="background2" w:themeShade="40"/>
              </w:rPr>
              <w:t>r</w:t>
            </w:r>
            <w:r w:rsidR="67EDFEF1" w:rsidRPr="00047C9F">
              <w:rPr>
                <w:rFonts w:eastAsiaTheme="minorEastAsia" w:cstheme="minorHAnsi"/>
                <w:color w:val="3B3838" w:themeColor="background2" w:themeShade="40"/>
              </w:rPr>
              <w:t>aised the profile of Maynooth University’s commitment to inclusive education through national and international conference presentations</w:t>
            </w:r>
            <w:r w:rsidR="2ACAC868" w:rsidRPr="00047C9F">
              <w:rPr>
                <w:rFonts w:eastAsiaTheme="minorEastAsia" w:cstheme="minorHAnsi"/>
                <w:color w:val="3B3838" w:themeColor="background2" w:themeShade="40"/>
              </w:rPr>
              <w:t xml:space="preserve">, and through the commitment to develop Creative Commons </w:t>
            </w:r>
            <w:proofErr w:type="spellStart"/>
            <w:r w:rsidR="00281E9B">
              <w:rPr>
                <w:rFonts w:eastAsiaTheme="minorEastAsia" w:cstheme="minorHAnsi"/>
                <w:color w:val="3B3838" w:themeColor="background2" w:themeShade="40"/>
              </w:rPr>
              <w:t>l</w:t>
            </w:r>
            <w:r w:rsidR="2ACAC868" w:rsidRPr="00047C9F">
              <w:rPr>
                <w:rFonts w:eastAsiaTheme="minorEastAsia" w:cstheme="minorHAnsi"/>
                <w:color w:val="3B3838" w:themeColor="background2" w:themeShade="40"/>
              </w:rPr>
              <w:t>icenced</w:t>
            </w:r>
            <w:proofErr w:type="spellEnd"/>
            <w:r w:rsidR="2ACAC868" w:rsidRPr="00047C9F">
              <w:rPr>
                <w:rFonts w:eastAsiaTheme="minorEastAsia" w:cstheme="minorHAnsi"/>
                <w:color w:val="3B3838" w:themeColor="background2" w:themeShade="40"/>
              </w:rPr>
              <w:t xml:space="preserve"> Open Education Resources (OER)</w:t>
            </w:r>
          </w:p>
          <w:p w14:paraId="7716F13E" w14:textId="73B92595" w:rsidR="67EDFEF1" w:rsidRPr="00047C9F" w:rsidRDefault="32DE61C0" w:rsidP="00047C9F">
            <w:pPr>
              <w:pStyle w:val="ListParagraph"/>
              <w:numPr>
                <w:ilvl w:val="0"/>
                <w:numId w:val="3"/>
              </w:numPr>
              <w:spacing w:line="259" w:lineRule="auto"/>
              <w:jc w:val="both"/>
              <w:rPr>
                <w:rFonts w:eastAsiaTheme="minorEastAsia" w:cstheme="minorHAnsi"/>
                <w:color w:val="3B3838" w:themeColor="background2" w:themeShade="40"/>
              </w:rPr>
            </w:pPr>
            <w:r w:rsidRPr="00047C9F">
              <w:rPr>
                <w:rFonts w:eastAsiaTheme="minorEastAsia" w:cstheme="minorHAnsi"/>
                <w:color w:val="3B3838" w:themeColor="background2" w:themeShade="40"/>
              </w:rPr>
              <w:t>e</w:t>
            </w:r>
            <w:r w:rsidR="67EDFEF1" w:rsidRPr="00047C9F">
              <w:rPr>
                <w:rFonts w:eastAsiaTheme="minorEastAsia" w:cstheme="minorHAnsi"/>
                <w:color w:val="3B3838" w:themeColor="background2" w:themeShade="40"/>
              </w:rPr>
              <w:t xml:space="preserve">ngaged in professional learning within professional and academic departments through the work of the initiative </w:t>
            </w:r>
          </w:p>
          <w:p w14:paraId="46DC7573" w14:textId="100A9743" w:rsidR="67EDFEF1" w:rsidRPr="00FD5B96" w:rsidRDefault="4F7AB274" w:rsidP="00FF2BBA">
            <w:pPr>
              <w:pStyle w:val="ListParagraph"/>
              <w:numPr>
                <w:ilvl w:val="0"/>
                <w:numId w:val="3"/>
              </w:numPr>
              <w:spacing w:line="259" w:lineRule="auto"/>
              <w:jc w:val="both"/>
              <w:rPr>
                <w:rFonts w:eastAsiaTheme="minorEastAsia" w:cstheme="minorHAnsi"/>
                <w:color w:val="3B3838" w:themeColor="background2" w:themeShade="40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</w:rPr>
              <w:lastRenderedPageBreak/>
              <w:t>u</w:t>
            </w:r>
            <w:r w:rsidR="67EDFEF1" w:rsidRPr="00FD5B96">
              <w:rPr>
                <w:rFonts w:eastAsiaTheme="minorEastAsia" w:cstheme="minorHAnsi"/>
                <w:color w:val="3B3838" w:themeColor="background2" w:themeShade="40"/>
              </w:rPr>
              <w:t>sed the learning and outputs from the initiative in accredited postgraduate programmes for staff in teaching and learning in higher education</w:t>
            </w:r>
            <w:r w:rsidR="468165E0" w:rsidRPr="00FD5B96">
              <w:rPr>
                <w:rFonts w:eastAsiaTheme="minorEastAsia" w:cstheme="minorHAnsi"/>
                <w:color w:val="3B3838" w:themeColor="background2" w:themeShade="40"/>
              </w:rPr>
              <w:t>.</w:t>
            </w:r>
            <w:r w:rsidR="67EDFEF1" w:rsidRPr="00FD5B96">
              <w:rPr>
                <w:rFonts w:eastAsiaTheme="minorEastAsia" w:cstheme="minorHAnsi"/>
                <w:color w:val="3B3838" w:themeColor="background2" w:themeShade="40"/>
              </w:rPr>
              <w:t xml:space="preserve"> </w:t>
            </w:r>
          </w:p>
          <w:p w14:paraId="7419FDEF" w14:textId="77777777" w:rsidR="006A77B1" w:rsidRPr="00FD5B96" w:rsidRDefault="006A77B1" w:rsidP="49E87A76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</w:rPr>
            </w:pPr>
          </w:p>
          <w:p w14:paraId="10C29246" w14:textId="6EFD3997" w:rsidR="006A77B1" w:rsidRPr="00FD5B96" w:rsidRDefault="0B0F8F9D" w:rsidP="791A740F">
            <w:pPr>
              <w:spacing w:line="259" w:lineRule="auto"/>
              <w:rPr>
                <w:rFonts w:eastAsiaTheme="minorEastAsia" w:cstheme="minorHAnsi"/>
                <w:color w:val="3B3838" w:themeColor="background2" w:themeShade="40"/>
                <w:lang w:val="en-IE"/>
              </w:rPr>
            </w:pPr>
            <w:r w:rsidRPr="00FD5B96">
              <w:rPr>
                <w:rFonts w:eastAsiaTheme="minorEastAsia" w:cstheme="minorHAnsi"/>
                <w:color w:val="3B3838" w:themeColor="background2" w:themeShade="40"/>
              </w:rPr>
              <w:t>We will complete a formal evaluation of the initiative, including pre and post Phase 2 surveys, in academic year 2024-25.</w:t>
            </w:r>
          </w:p>
        </w:tc>
      </w:tr>
      <w:tr w:rsidR="4D76C2C4" w:rsidRPr="00FD5B96" w14:paraId="028628C8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35E24E7" w14:textId="7A28E079" w:rsidR="006A77B1" w:rsidRPr="00FD5B96" w:rsidRDefault="006A77B1" w:rsidP="4D76C2C4">
            <w:pPr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lastRenderedPageBreak/>
              <w:t>Any future plans</w:t>
            </w:r>
            <w:r w:rsidR="00DC7317" w:rsidRPr="00FD5B96">
              <w:rPr>
                <w:rFonts w:eastAsiaTheme="minorEastAsia" w:cstheme="minorHAnsi"/>
                <w:b/>
                <w:bCs/>
              </w:rPr>
              <w:t>,</w:t>
            </w:r>
            <w:r w:rsidRPr="00FD5B96">
              <w:rPr>
                <w:rFonts w:eastAsiaTheme="minorEastAsia" w:cstheme="minorHAnsi"/>
                <w:b/>
                <w:bCs/>
              </w:rPr>
              <w:t xml:space="preserve"> including </w:t>
            </w:r>
            <w:r w:rsidR="008D7D1D" w:rsidRPr="00FD5B96">
              <w:rPr>
                <w:rFonts w:eastAsiaTheme="minorEastAsia" w:cstheme="minorHAnsi"/>
                <w:b/>
                <w:bCs/>
              </w:rPr>
              <w:t xml:space="preserve">the </w:t>
            </w:r>
            <w:r w:rsidRPr="00FD5B96">
              <w:rPr>
                <w:rFonts w:eastAsiaTheme="minorEastAsia" w:cstheme="minorHAnsi"/>
                <w:b/>
                <w:bCs/>
              </w:rPr>
              <w:t xml:space="preserve">sustainability of the initiative? </w:t>
            </w:r>
          </w:p>
          <w:p w14:paraId="49CC987B" w14:textId="01A12A94" w:rsidR="4D76C2C4" w:rsidRPr="00FD5B96" w:rsidRDefault="4D76C2C4" w:rsidP="4D76C2C4">
            <w:pPr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7B413900" w14:textId="5F8991B2" w:rsidR="4D76C2C4" w:rsidRPr="00FD5B96" w:rsidRDefault="0BA46E5C" w:rsidP="00FF2BBA">
            <w:pPr>
              <w:spacing w:line="259" w:lineRule="auto"/>
              <w:jc w:val="both"/>
              <w:rPr>
                <w:rFonts w:eastAsia="Calibri" w:cstheme="minorHAnsi"/>
                <w:color w:val="000000" w:themeColor="text1"/>
                <w:lang w:val="en-IE"/>
              </w:rPr>
            </w:pPr>
            <w:r w:rsidRPr="00FD5B96">
              <w:rPr>
                <w:rFonts w:eastAsia="Calibri" w:cstheme="minorHAnsi"/>
                <w:color w:val="000000" w:themeColor="text1"/>
                <w:lang w:val="en-IE"/>
              </w:rPr>
              <w:t xml:space="preserve">We are currently (academic year 2024-25) running Phase 2 of the initiative which involves: </w:t>
            </w:r>
          </w:p>
          <w:p w14:paraId="2D854D56" w14:textId="147789C1" w:rsidR="4D76C2C4" w:rsidRPr="00FD5B96" w:rsidRDefault="16868B70" w:rsidP="00A61B55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  <w:r w:rsidRPr="00FD5B96">
              <w:rPr>
                <w:rFonts w:eastAsia="Calibri" w:cstheme="minorHAnsi"/>
                <w:color w:val="000000" w:themeColor="text1"/>
                <w:lang w:val="en-IE"/>
              </w:rPr>
              <w:t>d</w:t>
            </w:r>
            <w:r w:rsidR="75D08F62" w:rsidRPr="00FD5B96">
              <w:rPr>
                <w:rFonts w:eastAsia="Calibri" w:cstheme="minorHAnsi"/>
                <w:color w:val="000000" w:themeColor="text1"/>
                <w:lang w:val="en-IE"/>
              </w:rPr>
              <w:t xml:space="preserve">issemination of existing resources </w:t>
            </w:r>
          </w:p>
          <w:p w14:paraId="7B71CDAB" w14:textId="30E0DF8F" w:rsidR="4D76C2C4" w:rsidRPr="00FD5B96" w:rsidRDefault="05729EE0" w:rsidP="00A61B55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  <w:r w:rsidRPr="00FD5B96">
              <w:rPr>
                <w:rFonts w:eastAsia="Calibri" w:cstheme="minorHAnsi"/>
                <w:color w:val="000000" w:themeColor="text1"/>
                <w:lang w:val="en-IE"/>
              </w:rPr>
              <w:t>f</w:t>
            </w:r>
            <w:r w:rsidR="6F4E35FA" w:rsidRPr="00FD5B96">
              <w:rPr>
                <w:rFonts w:eastAsia="Calibri" w:cstheme="minorHAnsi"/>
                <w:color w:val="000000" w:themeColor="text1"/>
                <w:lang w:val="en-IE"/>
              </w:rPr>
              <w:t>acilitating the</w:t>
            </w:r>
            <w:r w:rsidR="00AD6CBC" w:rsidRPr="00FD5B96">
              <w:rPr>
                <w:rFonts w:eastAsia="Calibri" w:cstheme="minorHAnsi"/>
                <w:color w:val="000000" w:themeColor="text1"/>
                <w:lang w:val="en-IE"/>
              </w:rPr>
              <w:t xml:space="preserve"> </w:t>
            </w:r>
            <w:r w:rsidR="77052EAD" w:rsidRPr="00FD5B96">
              <w:rPr>
                <w:rFonts w:eastAsia="Calibri" w:cstheme="minorHAnsi"/>
                <w:color w:val="000000" w:themeColor="text1"/>
                <w:lang w:val="en-IE"/>
              </w:rPr>
              <w:t xml:space="preserve">MU: </w:t>
            </w:r>
            <w:r w:rsidR="75D08F62" w:rsidRPr="00FD5B96">
              <w:rPr>
                <w:rFonts w:eastAsia="Calibri" w:cstheme="minorHAnsi"/>
                <w:color w:val="000000" w:themeColor="text1"/>
                <w:lang w:val="en-IE"/>
              </w:rPr>
              <w:t xml:space="preserve">UDL &amp; U Awareness Raising Campaign – February/March 2025 </w:t>
            </w:r>
            <w:r w:rsidR="5BA4949A" w:rsidRPr="00FD5B96">
              <w:rPr>
                <w:rFonts w:eastAsia="Calibri" w:cstheme="minorHAnsi"/>
                <w:color w:val="000000" w:themeColor="text1"/>
                <w:lang w:val="en-IE"/>
              </w:rPr>
              <w:t>including pre and post campaign surveys</w:t>
            </w:r>
          </w:p>
          <w:p w14:paraId="31D04B0A" w14:textId="2D9F9E88" w:rsidR="4D76C2C4" w:rsidRPr="00FD5B96" w:rsidRDefault="36DF2020" w:rsidP="00A61B55">
            <w:pPr>
              <w:pStyle w:val="ListParagraph"/>
              <w:numPr>
                <w:ilvl w:val="0"/>
                <w:numId w:val="4"/>
              </w:numPr>
              <w:spacing w:before="240" w:after="240" w:line="259" w:lineRule="auto"/>
              <w:rPr>
                <w:rFonts w:cstheme="minorHAnsi"/>
              </w:rPr>
            </w:pPr>
            <w:r w:rsidRPr="00FD5B96">
              <w:rPr>
                <w:rFonts w:cstheme="minorHAnsi"/>
                <w:lang w:val="en-IE"/>
              </w:rPr>
              <w:t>c</w:t>
            </w:r>
            <w:r w:rsidR="519A3E39" w:rsidRPr="00FD5B96">
              <w:rPr>
                <w:rFonts w:cstheme="minorHAnsi"/>
                <w:lang w:val="en-IE"/>
              </w:rPr>
              <w:t>o-author</w:t>
            </w:r>
            <w:r w:rsidR="00AD6CBC" w:rsidRPr="00FD5B96">
              <w:rPr>
                <w:rFonts w:cstheme="minorHAnsi"/>
                <w:lang w:val="en-IE"/>
              </w:rPr>
              <w:t>ing</w:t>
            </w:r>
            <w:r w:rsidR="519A3E39" w:rsidRPr="00FD5B96">
              <w:rPr>
                <w:rFonts w:cstheme="minorHAnsi"/>
                <w:lang w:val="en-IE"/>
              </w:rPr>
              <w:t xml:space="preserve"> three disciplinary Plus One case studies per faculty </w:t>
            </w:r>
          </w:p>
          <w:p w14:paraId="61B8B64A" w14:textId="4E4F4216" w:rsidR="4D76C2C4" w:rsidRPr="00FD5B96" w:rsidRDefault="3E1D0662" w:rsidP="00A61B55">
            <w:pPr>
              <w:pStyle w:val="ListParagraph"/>
              <w:numPr>
                <w:ilvl w:val="0"/>
                <w:numId w:val="4"/>
              </w:numPr>
              <w:spacing w:before="240" w:after="240" w:line="259" w:lineRule="auto"/>
              <w:rPr>
                <w:rFonts w:cstheme="minorHAnsi"/>
                <w:lang w:val="en-IE"/>
              </w:rPr>
            </w:pPr>
            <w:r w:rsidRPr="00FD5B96">
              <w:rPr>
                <w:rFonts w:cstheme="minorHAnsi"/>
                <w:lang w:val="en-IE"/>
              </w:rPr>
              <w:t>c</w:t>
            </w:r>
            <w:r w:rsidR="00AD6CBC" w:rsidRPr="00FD5B96">
              <w:rPr>
                <w:rFonts w:cstheme="minorHAnsi"/>
                <w:lang w:val="en-IE"/>
              </w:rPr>
              <w:t xml:space="preserve">ompleting </w:t>
            </w:r>
            <w:r w:rsidR="5C338BF8" w:rsidRPr="00FD5B96">
              <w:rPr>
                <w:rFonts w:cstheme="minorHAnsi"/>
                <w:lang w:val="en-IE"/>
              </w:rPr>
              <w:t xml:space="preserve">the </w:t>
            </w:r>
            <w:r w:rsidR="519A3E39" w:rsidRPr="00FD5B96">
              <w:rPr>
                <w:rFonts w:cstheme="minorHAnsi"/>
                <w:lang w:val="en-IE"/>
              </w:rPr>
              <w:t xml:space="preserve">End of Project Report including project evaluation and a recommendations statement based on the UDL Landscape Research &amp; Practice study, </w:t>
            </w:r>
            <w:r w:rsidR="213C5749" w:rsidRPr="00FD5B96">
              <w:rPr>
                <w:rFonts w:cstheme="minorHAnsi"/>
                <w:lang w:val="en-IE"/>
              </w:rPr>
              <w:t>the</w:t>
            </w:r>
            <w:r w:rsidR="519A3E39" w:rsidRPr="00FD5B96">
              <w:rPr>
                <w:rFonts w:cstheme="minorHAnsi"/>
                <w:lang w:val="en-IE"/>
              </w:rPr>
              <w:t xml:space="preserve"> UDL fellowship experience</w:t>
            </w:r>
            <w:r w:rsidR="6BC9AECE" w:rsidRPr="00FD5B96">
              <w:rPr>
                <w:rFonts w:cstheme="minorHAnsi"/>
                <w:lang w:val="en-IE"/>
              </w:rPr>
              <w:t xml:space="preserve"> and all learning to date from the MU: UDL &amp; U initiative.</w:t>
            </w:r>
          </w:p>
        </w:tc>
      </w:tr>
      <w:tr w:rsidR="4D76C2C4" w:rsidRPr="00FD5B96" w14:paraId="3D1D165A" w14:textId="77777777" w:rsidTr="791A740F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4999AA8" w14:textId="58EAF9A0" w:rsidR="0F40D9B9" w:rsidRPr="00FD5B96" w:rsidRDefault="0F40D9B9" w:rsidP="4D76C2C4">
            <w:pPr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>Key Learning Points</w:t>
            </w:r>
          </w:p>
          <w:p w14:paraId="750C960A" w14:textId="7A9D40E2" w:rsidR="4D76C2C4" w:rsidRPr="00FD5B96" w:rsidRDefault="4D76C2C4" w:rsidP="4D76C2C4">
            <w:pPr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6A332DF" w14:textId="0C2F110A" w:rsidR="4D76C2C4" w:rsidRPr="0004564D" w:rsidRDefault="4F55BF22" w:rsidP="4D76C2C4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  <w:r w:rsidRPr="0004564D">
              <w:rPr>
                <w:rFonts w:eastAsia="Calibri" w:cstheme="minorHAnsi"/>
                <w:color w:val="000000" w:themeColor="text1"/>
                <w:lang w:val="en-IE"/>
              </w:rPr>
              <w:t xml:space="preserve">Key </w:t>
            </w:r>
            <w:r w:rsidR="0004564D" w:rsidRPr="0004564D">
              <w:rPr>
                <w:rFonts w:eastAsia="Calibri" w:cstheme="minorHAnsi"/>
                <w:color w:val="000000" w:themeColor="text1"/>
                <w:lang w:val="en-IE"/>
              </w:rPr>
              <w:t>l</w:t>
            </w:r>
            <w:r w:rsidRPr="0004564D">
              <w:rPr>
                <w:rFonts w:eastAsia="Calibri" w:cstheme="minorHAnsi"/>
                <w:color w:val="000000" w:themeColor="text1"/>
                <w:lang w:val="en-IE"/>
              </w:rPr>
              <w:t xml:space="preserve">earning </w:t>
            </w:r>
            <w:r w:rsidR="0004564D" w:rsidRPr="0004564D">
              <w:rPr>
                <w:rFonts w:eastAsia="Calibri" w:cstheme="minorHAnsi"/>
                <w:color w:val="000000" w:themeColor="text1"/>
                <w:lang w:val="en-IE"/>
              </w:rPr>
              <w:t>p</w:t>
            </w:r>
            <w:r w:rsidRPr="0004564D">
              <w:rPr>
                <w:rFonts w:eastAsia="Calibri" w:cstheme="minorHAnsi"/>
                <w:color w:val="000000" w:themeColor="text1"/>
                <w:lang w:val="en-IE"/>
              </w:rPr>
              <w:t>oints include</w:t>
            </w:r>
            <w:r w:rsidR="00622EF9" w:rsidRPr="0004564D">
              <w:rPr>
                <w:rFonts w:eastAsia="Calibri" w:cstheme="minorHAnsi"/>
                <w:color w:val="000000" w:themeColor="text1"/>
                <w:lang w:val="en-IE"/>
              </w:rPr>
              <w:t>:</w:t>
            </w:r>
          </w:p>
          <w:p w14:paraId="3C73BB21" w14:textId="5E5A85B3" w:rsidR="49E87A76" w:rsidRPr="0004564D" w:rsidRDefault="49E87A76" w:rsidP="49E87A76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</w:p>
          <w:p w14:paraId="59F2035A" w14:textId="77777777" w:rsidR="00E56C5D" w:rsidRPr="0004564D" w:rsidRDefault="4F55BF22" w:rsidP="00A61B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Calibri" w:cstheme="minorHAnsi"/>
                <w:lang w:val="en-GB"/>
              </w:rPr>
            </w:pPr>
            <w:r w:rsidRPr="0004564D">
              <w:rPr>
                <w:rFonts w:eastAsia="Calibri" w:cstheme="minorHAnsi"/>
                <w:lang w:val="en-GB"/>
              </w:rPr>
              <w:t>the necessity to ensure that inclusive education remains a strategic priority for the University</w:t>
            </w:r>
          </w:p>
          <w:p w14:paraId="4A7DA244" w14:textId="15AB920F" w:rsidR="4F55BF22" w:rsidRPr="0004564D" w:rsidRDefault="00E56C5D" w:rsidP="00A61B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Calibri" w:cstheme="minorHAnsi"/>
                <w:lang w:val="en-GB"/>
              </w:rPr>
            </w:pPr>
            <w:r w:rsidRPr="0004564D">
              <w:rPr>
                <w:rFonts w:eastAsia="Calibri" w:cstheme="minorHAnsi"/>
                <w:lang w:val="en-GB"/>
              </w:rPr>
              <w:t xml:space="preserve">importance of </w:t>
            </w:r>
            <w:r w:rsidR="006540C9" w:rsidRPr="0004564D">
              <w:rPr>
                <w:rFonts w:eastAsia="Calibri" w:cstheme="minorHAnsi"/>
                <w:lang w:val="en-GB"/>
              </w:rPr>
              <w:t xml:space="preserve">ongoing </w:t>
            </w:r>
            <w:r w:rsidRPr="0004564D">
              <w:rPr>
                <w:rFonts w:eastAsia="Calibri" w:cstheme="minorHAnsi"/>
                <w:lang w:val="en-GB"/>
              </w:rPr>
              <w:t xml:space="preserve">professional development for staff to </w:t>
            </w:r>
            <w:r w:rsidR="006540C9" w:rsidRPr="0004564D">
              <w:rPr>
                <w:rFonts w:eastAsia="Calibri" w:cstheme="minorHAnsi"/>
                <w:lang w:val="en-GB"/>
              </w:rPr>
              <w:t>promote and embed inclusive education practice</w:t>
            </w:r>
            <w:r w:rsidR="4F55BF22" w:rsidRPr="0004564D">
              <w:rPr>
                <w:rFonts w:eastAsia="Calibri" w:cstheme="minorHAnsi"/>
                <w:lang w:val="en-GB"/>
              </w:rPr>
              <w:t xml:space="preserve"> </w:t>
            </w:r>
          </w:p>
          <w:p w14:paraId="2E50946E" w14:textId="3675E942" w:rsidR="4F55BF22" w:rsidRPr="0004564D" w:rsidRDefault="4F55BF22" w:rsidP="00A61B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Calibri" w:cstheme="minorHAnsi"/>
                <w:lang w:val="en-GB"/>
              </w:rPr>
            </w:pPr>
            <w:r w:rsidRPr="0004564D">
              <w:rPr>
                <w:rFonts w:eastAsia="Calibri" w:cstheme="minorHAnsi"/>
                <w:lang w:val="en-GB"/>
              </w:rPr>
              <w:t xml:space="preserve">both bottom-up and top-down efforts are required as </w:t>
            </w:r>
            <w:r w:rsidR="00B5385E" w:rsidRPr="0004564D">
              <w:rPr>
                <w:rFonts w:eastAsia="Calibri" w:cstheme="minorHAnsi"/>
                <w:lang w:val="en-GB"/>
              </w:rPr>
              <w:t>is alignment</w:t>
            </w:r>
            <w:r w:rsidRPr="0004564D">
              <w:rPr>
                <w:rFonts w:eastAsia="Calibri" w:cstheme="minorHAnsi"/>
                <w:lang w:val="en-GB"/>
              </w:rPr>
              <w:t xml:space="preserve"> with other related work on-campus</w:t>
            </w:r>
          </w:p>
          <w:p w14:paraId="7F2424FF" w14:textId="6EF35F0E" w:rsidR="4F55BF22" w:rsidRPr="0004564D" w:rsidRDefault="145743C2" w:rsidP="00A61B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Calibri" w:cstheme="minorHAnsi"/>
                <w:lang w:val="en-IE"/>
              </w:rPr>
            </w:pPr>
            <w:r w:rsidRPr="0004564D">
              <w:rPr>
                <w:rFonts w:eastAsia="Calibri" w:cstheme="minorHAnsi"/>
                <w:lang w:val="en-GB"/>
              </w:rPr>
              <w:t>a</w:t>
            </w:r>
            <w:r w:rsidR="4F55BF22" w:rsidRPr="0004564D">
              <w:rPr>
                <w:rFonts w:eastAsia="Calibri" w:cstheme="minorHAnsi"/>
                <w:lang w:val="en-GB"/>
              </w:rPr>
              <w:t xml:space="preserve"> faculty approach is effective in terms of creating awareness, building knowledge and supporting action</w:t>
            </w:r>
          </w:p>
          <w:p w14:paraId="30473076" w14:textId="535EC801" w:rsidR="4F55BF22" w:rsidRPr="0004564D" w:rsidRDefault="2185A63A" w:rsidP="00A61B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Calibri" w:cstheme="minorHAnsi"/>
                <w:lang w:val="en-IE"/>
              </w:rPr>
            </w:pPr>
            <w:r w:rsidRPr="0004564D">
              <w:rPr>
                <w:rFonts w:eastAsia="Calibri" w:cstheme="minorHAnsi"/>
                <w:lang w:val="en-GB"/>
              </w:rPr>
              <w:t>r</w:t>
            </w:r>
            <w:r w:rsidR="4F55BF22" w:rsidRPr="0004564D">
              <w:rPr>
                <w:rFonts w:eastAsia="Calibri" w:cstheme="minorHAnsi"/>
                <w:lang w:val="en-GB"/>
              </w:rPr>
              <w:t>aising awareness takes time and a range of approaches</w:t>
            </w:r>
          </w:p>
          <w:p w14:paraId="64FC84A6" w14:textId="05A57895" w:rsidR="4F55BF22" w:rsidRPr="0004564D" w:rsidRDefault="6CAC5814" w:rsidP="00A61B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Calibri" w:cstheme="minorHAnsi"/>
                <w:lang w:val="en-GB"/>
              </w:rPr>
            </w:pPr>
            <w:r w:rsidRPr="0004564D">
              <w:rPr>
                <w:rFonts w:eastAsia="Calibri" w:cstheme="minorHAnsi"/>
                <w:lang w:val="en-GB"/>
              </w:rPr>
              <w:t>o</w:t>
            </w:r>
            <w:r w:rsidR="4F55BF22" w:rsidRPr="0004564D">
              <w:rPr>
                <w:rFonts w:eastAsia="Calibri" w:cstheme="minorHAnsi"/>
                <w:lang w:val="en-GB"/>
              </w:rPr>
              <w:t xml:space="preserve">ur efforts need to be underpinned by the most recent evidence and research in this space, hence our prioritising of </w:t>
            </w:r>
            <w:r w:rsidR="45F0AD81" w:rsidRPr="0004564D">
              <w:rPr>
                <w:rFonts w:eastAsia="Calibri" w:cstheme="minorHAnsi"/>
                <w:lang w:val="en-GB"/>
              </w:rPr>
              <w:t>a review of the scholarship and models of good practice</w:t>
            </w:r>
          </w:p>
          <w:p w14:paraId="1359A832" w14:textId="4EA36F58" w:rsidR="45F0AD81" w:rsidRPr="0004564D" w:rsidRDefault="7EBDC2BD" w:rsidP="00A61B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Calibri" w:cstheme="minorHAnsi"/>
                <w:lang w:val="en-GB"/>
              </w:rPr>
            </w:pPr>
            <w:r w:rsidRPr="0004564D">
              <w:rPr>
                <w:rFonts w:eastAsia="Calibri" w:cstheme="minorHAnsi"/>
                <w:lang w:val="en-GB"/>
              </w:rPr>
              <w:t>i</w:t>
            </w:r>
            <w:r w:rsidR="45F0AD81" w:rsidRPr="0004564D">
              <w:rPr>
                <w:rFonts w:eastAsia="Calibri" w:cstheme="minorHAnsi"/>
                <w:lang w:val="en-GB"/>
              </w:rPr>
              <w:t xml:space="preserve">nstitutional alignment must be echoed in unit alignment </w:t>
            </w:r>
            <w:r w:rsidR="007247EA" w:rsidRPr="0004564D">
              <w:rPr>
                <w:rFonts w:eastAsia="Calibri" w:cstheme="minorHAnsi"/>
                <w:lang w:val="en-GB"/>
              </w:rPr>
              <w:t>with</w:t>
            </w:r>
            <w:r w:rsidR="4ABDA587" w:rsidRPr="0004564D">
              <w:rPr>
                <w:rFonts w:eastAsia="Calibri" w:cstheme="minorHAnsi"/>
                <w:lang w:val="en-GB"/>
              </w:rPr>
              <w:t xml:space="preserve"> CTL TEL colleagues </w:t>
            </w:r>
            <w:r w:rsidR="165288CF" w:rsidRPr="0004564D">
              <w:rPr>
                <w:rFonts w:eastAsia="Calibri" w:cstheme="minorHAnsi"/>
                <w:lang w:val="en-GB"/>
              </w:rPr>
              <w:t>facilitating a</w:t>
            </w:r>
            <w:r w:rsidR="4ABDA587" w:rsidRPr="0004564D">
              <w:rPr>
                <w:rFonts w:eastAsia="Calibri" w:cstheme="minorHAnsi"/>
                <w:lang w:val="en-GB"/>
              </w:rPr>
              <w:t xml:space="preserve"> </w:t>
            </w:r>
            <w:r w:rsidR="00612E34" w:rsidRPr="0004564D">
              <w:rPr>
                <w:rFonts w:eastAsia="Calibri" w:cstheme="minorHAnsi"/>
                <w:lang w:val="en-GB"/>
              </w:rPr>
              <w:t>parallel</w:t>
            </w:r>
            <w:r w:rsidR="007247EA" w:rsidRPr="0004564D">
              <w:rPr>
                <w:rFonts w:eastAsia="Calibri" w:cstheme="minorHAnsi"/>
                <w:lang w:val="en-GB"/>
              </w:rPr>
              <w:t xml:space="preserve"> initiative to enhance VLE accessibility</w:t>
            </w:r>
            <w:r w:rsidR="00612E34" w:rsidRPr="0004564D">
              <w:rPr>
                <w:rFonts w:eastAsia="Calibri" w:cstheme="minorHAnsi"/>
                <w:lang w:val="en-GB"/>
              </w:rPr>
              <w:t xml:space="preserve"> </w:t>
            </w:r>
          </w:p>
          <w:p w14:paraId="77DFDE02" w14:textId="49CB86F2" w:rsidR="41B6598B" w:rsidRPr="0004564D" w:rsidRDefault="3B389541" w:rsidP="00A61B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Calibri" w:cstheme="minorHAnsi"/>
                <w:lang w:val="en-GB"/>
              </w:rPr>
            </w:pPr>
            <w:r w:rsidRPr="0004564D">
              <w:rPr>
                <w:rFonts w:eastAsia="Calibri" w:cstheme="minorHAnsi"/>
                <w:lang w:val="en-GB"/>
              </w:rPr>
              <w:t>o</w:t>
            </w:r>
            <w:r w:rsidR="41B6598B" w:rsidRPr="0004564D">
              <w:rPr>
                <w:rFonts w:eastAsia="Calibri" w:cstheme="minorHAnsi"/>
                <w:lang w:val="en-GB"/>
              </w:rPr>
              <w:t>ngoing work would benefit from increased</w:t>
            </w:r>
            <w:r w:rsidR="4F55BF22" w:rsidRPr="0004564D">
              <w:rPr>
                <w:rFonts w:eastAsia="Calibri" w:cstheme="minorHAnsi"/>
                <w:lang w:val="en-GB"/>
              </w:rPr>
              <w:t xml:space="preserve"> student involvement.</w:t>
            </w:r>
          </w:p>
          <w:p w14:paraId="7AFA5174" w14:textId="4928D22B" w:rsidR="49E87A76" w:rsidRPr="0004564D" w:rsidRDefault="49E87A76" w:rsidP="49E87A76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</w:p>
          <w:p w14:paraId="3852AFC0" w14:textId="04CC2742" w:rsidR="00801E77" w:rsidRPr="0004564D" w:rsidRDefault="3CB787F2" w:rsidP="791A740F">
            <w:pPr>
              <w:spacing w:line="259" w:lineRule="auto"/>
              <w:jc w:val="both"/>
              <w:rPr>
                <w:rFonts w:eastAsiaTheme="minorEastAsia" w:cstheme="minorHAnsi"/>
                <w:color w:val="000000" w:themeColor="text1"/>
                <w:lang w:val="en-IE"/>
              </w:rPr>
            </w:pPr>
            <w:r w:rsidRPr="0004564D">
              <w:rPr>
                <w:rFonts w:eastAsiaTheme="minorEastAsia" w:cstheme="minorHAnsi"/>
                <w:color w:val="000000" w:themeColor="text1"/>
                <w:lang w:val="en-IE"/>
              </w:rPr>
              <w:t xml:space="preserve">Through </w:t>
            </w:r>
            <w:r w:rsidR="3959B8FB" w:rsidRPr="0004564D">
              <w:rPr>
                <w:rFonts w:eastAsiaTheme="minorEastAsia" w:cstheme="minorHAnsi"/>
                <w:color w:val="000000" w:themeColor="text1"/>
                <w:lang w:val="en-IE"/>
              </w:rPr>
              <w:t>ou</w:t>
            </w:r>
            <w:r w:rsidRPr="0004564D">
              <w:rPr>
                <w:rFonts w:eastAsiaTheme="minorEastAsia" w:cstheme="minorHAnsi"/>
                <w:color w:val="000000" w:themeColor="text1"/>
                <w:lang w:val="en-IE"/>
              </w:rPr>
              <w:t xml:space="preserve">r work together </w:t>
            </w:r>
            <w:r w:rsidR="0779F1A7" w:rsidRPr="0004564D">
              <w:rPr>
                <w:rFonts w:eastAsiaTheme="minorEastAsia" w:cstheme="minorHAnsi"/>
                <w:color w:val="000000" w:themeColor="text1"/>
                <w:lang w:val="en-IE"/>
              </w:rPr>
              <w:t xml:space="preserve">we </w:t>
            </w:r>
            <w:r w:rsidRPr="0004564D">
              <w:rPr>
                <w:rFonts w:eastAsiaTheme="minorEastAsia" w:cstheme="minorHAnsi"/>
                <w:color w:val="000000" w:themeColor="text1"/>
                <w:lang w:val="en-IE"/>
              </w:rPr>
              <w:t xml:space="preserve">have come to a shared understanding of the </w:t>
            </w:r>
            <w:r w:rsidR="72BDC9F6" w:rsidRPr="0004564D">
              <w:rPr>
                <w:rFonts w:eastAsiaTheme="minorEastAsia" w:cstheme="minorHAnsi"/>
                <w:color w:val="000000" w:themeColor="text1"/>
                <w:lang w:val="en-IE"/>
              </w:rPr>
              <w:t xml:space="preserve">need to </w:t>
            </w:r>
            <w:r w:rsidRPr="0004564D">
              <w:rPr>
                <w:rFonts w:eastAsiaTheme="minorEastAsia" w:cstheme="minorHAnsi"/>
                <w:color w:val="000000" w:themeColor="text1"/>
                <w:lang w:val="en-IE"/>
              </w:rPr>
              <w:t xml:space="preserve">see </w:t>
            </w:r>
            <w:r w:rsidR="60C947A3" w:rsidRPr="0004564D">
              <w:rPr>
                <w:rFonts w:eastAsiaTheme="minorEastAsia" w:cstheme="minorHAnsi"/>
                <w:color w:val="000000" w:themeColor="text1"/>
                <w:lang w:val="en-IE"/>
              </w:rPr>
              <w:t xml:space="preserve">the principles of </w:t>
            </w:r>
            <w:r w:rsidRPr="0004564D">
              <w:rPr>
                <w:rFonts w:eastAsiaTheme="minorEastAsia" w:cstheme="minorHAnsi"/>
                <w:color w:val="000000" w:themeColor="text1"/>
                <w:lang w:val="en-IE"/>
              </w:rPr>
              <w:t>Universal Design for Learning as an i</w:t>
            </w:r>
            <w:r w:rsidR="0946C73D" w:rsidRPr="0004564D">
              <w:rPr>
                <w:rFonts w:eastAsiaTheme="minorEastAsia" w:cstheme="minorHAnsi"/>
                <w:color w:val="000000" w:themeColor="text1"/>
                <w:lang w:val="en-IE"/>
              </w:rPr>
              <w:t xml:space="preserve">mportant </w:t>
            </w:r>
            <w:r w:rsidRPr="0004564D">
              <w:rPr>
                <w:rFonts w:eastAsiaTheme="minorEastAsia" w:cstheme="minorHAnsi"/>
                <w:color w:val="000000" w:themeColor="text1"/>
                <w:lang w:val="en-IE"/>
              </w:rPr>
              <w:t xml:space="preserve">aspect of the broader campus-wide commitment to inclusive higher education. </w:t>
            </w:r>
            <w:r w:rsidR="75BFA526" w:rsidRPr="0004564D">
              <w:rPr>
                <w:rFonts w:eastAsiaTheme="minorEastAsia" w:cstheme="minorHAnsi"/>
                <w:color w:val="000000" w:themeColor="text1"/>
                <w:lang w:val="en-IE"/>
              </w:rPr>
              <w:t>This work is a</w:t>
            </w:r>
            <w:r w:rsidRPr="0004564D">
              <w:rPr>
                <w:rFonts w:eastAsiaTheme="minorEastAsia" w:cstheme="minorHAnsi"/>
                <w:color w:val="000000" w:themeColor="text1"/>
                <w:lang w:val="en-IE"/>
              </w:rPr>
              <w:t xml:space="preserve"> whole</w:t>
            </w:r>
            <w:r w:rsidR="1EFC6BBF" w:rsidRPr="0004564D">
              <w:rPr>
                <w:rFonts w:eastAsiaTheme="minorEastAsia" w:cstheme="minorHAnsi"/>
                <w:color w:val="000000" w:themeColor="text1"/>
                <w:lang w:val="en-IE"/>
              </w:rPr>
              <w:t>-</w:t>
            </w:r>
            <w:r w:rsidRPr="0004564D">
              <w:rPr>
                <w:rFonts w:eastAsiaTheme="minorEastAsia" w:cstheme="minorHAnsi"/>
                <w:color w:val="000000" w:themeColor="text1"/>
                <w:lang w:val="en-IE"/>
              </w:rPr>
              <w:t>of</w:t>
            </w:r>
            <w:r w:rsidR="737D186F" w:rsidRPr="0004564D">
              <w:rPr>
                <w:rFonts w:eastAsiaTheme="minorEastAsia" w:cstheme="minorHAnsi"/>
                <w:color w:val="000000" w:themeColor="text1"/>
                <w:lang w:val="en-IE"/>
              </w:rPr>
              <w:t>-</w:t>
            </w:r>
            <w:r w:rsidRPr="0004564D">
              <w:rPr>
                <w:rFonts w:eastAsiaTheme="minorEastAsia" w:cstheme="minorHAnsi"/>
                <w:color w:val="000000" w:themeColor="text1"/>
                <w:lang w:val="en-IE"/>
              </w:rPr>
              <w:t xml:space="preserve">institution endeavour which incorporates research, policy and practice. </w:t>
            </w:r>
            <w:r w:rsidR="1829BC70" w:rsidRPr="0004564D">
              <w:rPr>
                <w:rFonts w:eastAsiaTheme="minorEastAsia" w:cstheme="minorHAnsi"/>
                <w:color w:val="000000" w:themeColor="text1"/>
                <w:lang w:val="en-IE"/>
              </w:rPr>
              <w:t>We</w:t>
            </w:r>
            <w:r w:rsidRPr="0004564D">
              <w:rPr>
                <w:rFonts w:eastAsiaTheme="minorEastAsia" w:cstheme="minorHAnsi"/>
                <w:color w:val="000000" w:themeColor="text1"/>
                <w:lang w:val="en-IE"/>
              </w:rPr>
              <w:t xml:space="preserve"> acknowledge the complexity of the achievement of inclusion while remaining determined to incrementally move towards a more inclusive campus.</w:t>
            </w:r>
          </w:p>
          <w:p w14:paraId="07146E21" w14:textId="36E11AD7" w:rsidR="00801E77" w:rsidRPr="00FD5B96" w:rsidRDefault="00801E77" w:rsidP="49E87A76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</w:p>
        </w:tc>
      </w:tr>
    </w:tbl>
    <w:p w14:paraId="551CC817" w14:textId="77777777" w:rsidR="006A77B1" w:rsidRPr="00FD5B96" w:rsidRDefault="006A77B1" w:rsidP="4D76C2C4">
      <w:pPr>
        <w:rPr>
          <w:rFonts w:cstheme="minorHAnsi"/>
          <w:b/>
          <w:bCs/>
        </w:rPr>
      </w:pPr>
    </w:p>
    <w:p w14:paraId="64F5A84B" w14:textId="35EA0C98" w:rsidR="59DEA8C5" w:rsidRPr="00FD5B96" w:rsidRDefault="00F77C41" w:rsidP="4D76C2C4">
      <w:pPr>
        <w:rPr>
          <w:rFonts w:cstheme="minorHAnsi"/>
          <w:b/>
          <w:bCs/>
        </w:rPr>
      </w:pPr>
      <w:r w:rsidRPr="00FD5B96">
        <w:rPr>
          <w:rFonts w:cstheme="minorHAnsi"/>
          <w:b/>
          <w:bCs/>
        </w:rPr>
        <w:lastRenderedPageBreak/>
        <w:t>Teaching and Learning</w:t>
      </w:r>
      <w:r w:rsidR="59DEA8C5" w:rsidRPr="00FD5B96">
        <w:rPr>
          <w:rFonts w:cstheme="minorHAnsi"/>
          <w:b/>
          <w:bCs/>
        </w:rPr>
        <w:t xml:space="preserve"> </w:t>
      </w:r>
      <w:r w:rsidRPr="00FD5B96">
        <w:rPr>
          <w:rFonts w:cstheme="minorHAnsi"/>
          <w:b/>
          <w:bCs/>
        </w:rPr>
        <w:t>Focus Areas</w:t>
      </w:r>
      <w:r w:rsidR="59DEA8C5" w:rsidRPr="00FD5B96">
        <w:rPr>
          <w:rFonts w:cstheme="minorHAnsi"/>
          <w:b/>
          <w:bCs/>
        </w:rPr>
        <w:t xml:space="preserve"> (please tick all that apply)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263"/>
        <w:gridCol w:w="2268"/>
        <w:gridCol w:w="2835"/>
        <w:gridCol w:w="1994"/>
      </w:tblGrid>
      <w:tr w:rsidR="4D76C2C4" w:rsidRPr="00FD5B96" w14:paraId="319B47B2" w14:textId="77777777" w:rsidTr="791A740F">
        <w:trPr>
          <w:trHeight w:val="300"/>
        </w:trPr>
        <w:tc>
          <w:tcPr>
            <w:tcW w:w="2263" w:type="dxa"/>
            <w:shd w:val="clear" w:color="auto" w:fill="0070C0"/>
          </w:tcPr>
          <w:p w14:paraId="46ED7264" w14:textId="6EEEBE09" w:rsidR="64C96453" w:rsidRPr="00FD5B96" w:rsidRDefault="00F77C41" w:rsidP="791A740F">
            <w:pPr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D5B96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</w:rPr>
              <w:t>Categories</w:t>
            </w:r>
          </w:p>
        </w:tc>
        <w:tc>
          <w:tcPr>
            <w:tcW w:w="2268" w:type="dxa"/>
            <w:shd w:val="clear" w:color="auto" w:fill="0070C0"/>
          </w:tcPr>
          <w:p w14:paraId="3DBB4ACC" w14:textId="72632CED" w:rsidR="56B27A20" w:rsidRPr="00FD5B96" w:rsidRDefault="00F77C41" w:rsidP="4D76C2C4">
            <w:pPr>
              <w:spacing w:line="259" w:lineRule="auto"/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D5B96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</w:rPr>
              <w:t>Elements</w:t>
            </w:r>
          </w:p>
        </w:tc>
        <w:tc>
          <w:tcPr>
            <w:tcW w:w="2835" w:type="dxa"/>
            <w:shd w:val="clear" w:color="auto" w:fill="0070C0"/>
          </w:tcPr>
          <w:p w14:paraId="687A0CC2" w14:textId="4F0DD6B8" w:rsidR="424DE75F" w:rsidRPr="00FD5B96" w:rsidRDefault="424DE75F" w:rsidP="4D76C2C4">
            <w:pPr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D5B96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</w:rPr>
              <w:t>Topic</w:t>
            </w:r>
            <w:r w:rsidR="00F77C41" w:rsidRPr="00FD5B96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0070C0"/>
          </w:tcPr>
          <w:p w14:paraId="5A1947A2" w14:textId="422E4C3A" w:rsidR="53FC4483" w:rsidRPr="00FD5B96" w:rsidRDefault="00F77C41" w:rsidP="4D76C2C4">
            <w:pPr>
              <w:spacing w:line="259" w:lineRule="auto"/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D5B96">
              <w:rPr>
                <w:rFonts w:eastAsiaTheme="minorEastAsia" w:cstheme="minorHAnsi"/>
                <w:b/>
                <w:bCs/>
                <w:color w:val="FFFFFF" w:themeColor="background1"/>
                <w:sz w:val="24"/>
                <w:szCs w:val="24"/>
              </w:rPr>
              <w:t>Target Groups</w:t>
            </w:r>
          </w:p>
        </w:tc>
      </w:tr>
      <w:tr w:rsidR="4D76C2C4" w:rsidRPr="00FD5B96" w14:paraId="6C0480C4" w14:textId="77777777" w:rsidTr="791A740F">
        <w:trPr>
          <w:trHeight w:val="300"/>
        </w:trPr>
        <w:tc>
          <w:tcPr>
            <w:tcW w:w="2263" w:type="dxa"/>
          </w:tcPr>
          <w:p w14:paraId="3A82DAC8" w14:textId="42E8389D" w:rsidR="004B67D1" w:rsidRPr="00FD5B96" w:rsidRDefault="64C96453" w:rsidP="004B67D1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>Commit</w:t>
            </w:r>
            <w:r w:rsidR="004B67D1" w:rsidRPr="00FD5B9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 w:rsidRPr="00FD5B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2BC13C2" w14:textId="490FF117" w:rsidR="64C96453" w:rsidRPr="00FD5B96" w:rsidRDefault="64C96453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268" w:type="dxa"/>
          </w:tcPr>
          <w:p w14:paraId="194897CA" w14:textId="77777777" w:rsidR="004B67D1" w:rsidRPr="00FD5B96" w:rsidRDefault="0BFDBB8F" w:rsidP="004B67D1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 xml:space="preserve">Leadership, Strategy </w:t>
            </w:r>
            <w:r w:rsidR="3A69ACFB" w:rsidRPr="00FD5B96">
              <w:rPr>
                <w:rFonts w:eastAsiaTheme="minorEastAsia" w:cstheme="minorHAnsi"/>
              </w:rPr>
              <w:t xml:space="preserve">&amp; </w:t>
            </w:r>
            <w:r w:rsidRPr="00FD5B96">
              <w:rPr>
                <w:rFonts w:eastAsiaTheme="minorEastAsia" w:cstheme="minorHAnsi"/>
              </w:rPr>
              <w:t>Governance</w:t>
            </w:r>
            <w:r w:rsidR="004B67D1" w:rsidRPr="00FD5B96">
              <w:rPr>
                <w:rFonts w:eastAsiaTheme="minorEastAsia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 w:rsidRPr="00FD5B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EEA0728" w14:textId="10F3E28C" w:rsidR="0BFDBB8F" w:rsidRPr="00FD5B96" w:rsidRDefault="0BFDBB8F" w:rsidP="4D76C2C4">
            <w:pPr>
              <w:rPr>
                <w:rFonts w:eastAsiaTheme="minorEastAsia" w:cstheme="minorHAnsi"/>
              </w:rPr>
            </w:pPr>
          </w:p>
          <w:p w14:paraId="1C54432A" w14:textId="33AF443A" w:rsidR="4D76C2C4" w:rsidRPr="00FD5B96" w:rsidRDefault="4D76C2C4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835" w:type="dxa"/>
          </w:tcPr>
          <w:p w14:paraId="21C7E1DF" w14:textId="0EC2D85E" w:rsidR="7A8C362C" w:rsidRPr="00FD5B96" w:rsidRDefault="273BC527" w:rsidP="4D76C2C4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 xml:space="preserve">Digital Transformation </w:t>
            </w:r>
            <w:sdt>
              <w:sdtPr>
                <w:rPr>
                  <w:rFonts w:cstheme="minorHAnsi"/>
                </w:rPr>
                <w:id w:val="58958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5B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AC78BA9" w14:textId="4E6765E4" w:rsidR="7A8C362C" w:rsidRPr="00FD5B96" w:rsidRDefault="7A8C362C" w:rsidP="2CCD9E84">
            <w:pPr>
              <w:rPr>
                <w:rFonts w:eastAsiaTheme="minorEastAsia" w:cstheme="minorHAnsi"/>
              </w:rPr>
            </w:pPr>
          </w:p>
        </w:tc>
        <w:tc>
          <w:tcPr>
            <w:tcW w:w="1994" w:type="dxa"/>
          </w:tcPr>
          <w:p w14:paraId="78292EFA" w14:textId="77777777" w:rsidR="004B67D1" w:rsidRPr="00FD5B96" w:rsidRDefault="7DF0C6BE" w:rsidP="004B67D1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>Students</w:t>
            </w:r>
            <w:r w:rsidR="004B67D1" w:rsidRPr="00FD5B96">
              <w:rPr>
                <w:rFonts w:eastAsiaTheme="minorEastAsia" w:cstheme="minorHAnsi"/>
              </w:rPr>
              <w:t xml:space="preserve"> </w:t>
            </w:r>
            <w:r w:rsidRPr="00FD5B96">
              <w:rPr>
                <w:rFonts w:eastAsiaTheme="minorEastAsia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9995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 w:rsidRPr="00FD5B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813E63D" w14:textId="5EFC1F02" w:rsidR="7DF0C6BE" w:rsidRPr="00FD5B96" w:rsidRDefault="7DF0C6BE" w:rsidP="4D76C2C4">
            <w:pPr>
              <w:rPr>
                <w:rFonts w:eastAsiaTheme="minorEastAsia" w:cstheme="minorHAnsi"/>
              </w:rPr>
            </w:pPr>
          </w:p>
        </w:tc>
      </w:tr>
      <w:tr w:rsidR="4D76C2C4" w:rsidRPr="00FD5B96" w14:paraId="6B5D066D" w14:textId="77777777" w:rsidTr="791A740F">
        <w:trPr>
          <w:trHeight w:val="300"/>
        </w:trPr>
        <w:tc>
          <w:tcPr>
            <w:tcW w:w="2263" w:type="dxa"/>
          </w:tcPr>
          <w:p w14:paraId="582FE32D" w14:textId="193E9230" w:rsidR="004B67D1" w:rsidRPr="00FD5B96" w:rsidRDefault="64C96453" w:rsidP="004B67D1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>Coordinate</w:t>
            </w:r>
            <w:r w:rsidR="004B67D1" w:rsidRPr="00FD5B9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46097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486C" w:rsidRPr="00FD5B9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  <w:p w14:paraId="50743FA5" w14:textId="402B1508" w:rsidR="64C96453" w:rsidRPr="00FD5B96" w:rsidRDefault="64C96453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268" w:type="dxa"/>
          </w:tcPr>
          <w:p w14:paraId="0F3181C7" w14:textId="174EAD11" w:rsidR="004B67D1" w:rsidRPr="00FD5B96" w:rsidRDefault="00F77C41" w:rsidP="004B67D1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 xml:space="preserve">Curriculum and Assessment </w:t>
            </w:r>
            <w:sdt>
              <w:sdtPr>
                <w:rPr>
                  <w:rFonts w:cstheme="minorHAnsi"/>
                </w:rPr>
                <w:id w:val="-12320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 w:rsidRPr="00FD5B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AF25D81" w14:textId="2D6D0152" w:rsidR="004B67D1" w:rsidRPr="00FD5B96" w:rsidRDefault="004B67D1" w:rsidP="004B67D1">
            <w:pPr>
              <w:rPr>
                <w:rFonts w:cstheme="minorHAnsi"/>
              </w:rPr>
            </w:pPr>
          </w:p>
          <w:p w14:paraId="2AF667D4" w14:textId="7EF9E651" w:rsidR="1705E9F7" w:rsidRPr="00FD5B96" w:rsidRDefault="1705E9F7" w:rsidP="4D76C2C4">
            <w:pPr>
              <w:rPr>
                <w:rFonts w:eastAsiaTheme="minorEastAsia" w:cstheme="minorHAnsi"/>
              </w:rPr>
            </w:pPr>
          </w:p>
          <w:p w14:paraId="4E65CB0C" w14:textId="25776B94" w:rsidR="4D76C2C4" w:rsidRPr="00FD5B96" w:rsidRDefault="4D76C2C4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835" w:type="dxa"/>
          </w:tcPr>
          <w:p w14:paraId="6A591969" w14:textId="7EC99A44" w:rsidR="6607A081" w:rsidRPr="00FD5B96" w:rsidRDefault="5F470FE6" w:rsidP="2CCD9E84">
            <w:pPr>
              <w:rPr>
                <w:rFonts w:eastAsiaTheme="minorEastAsia" w:cstheme="minorHAnsi"/>
              </w:rPr>
            </w:pPr>
            <w:r w:rsidRPr="00FD5B96">
              <w:rPr>
                <w:rFonts w:eastAsiaTheme="minorEastAsia" w:cstheme="minorHAnsi"/>
              </w:rPr>
              <w:t>Education for Sustainable Development</w:t>
            </w:r>
          </w:p>
          <w:p w14:paraId="20BE7D91" w14:textId="1B53D30D" w:rsidR="6607A081" w:rsidRPr="00FD5B96" w:rsidRDefault="5F470FE6" w:rsidP="4D76C2C4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14230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5B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408EBB4" w14:textId="18C814D0" w:rsidR="6607A081" w:rsidRPr="00FD5B96" w:rsidRDefault="6607A081" w:rsidP="2CCD9E84">
            <w:pPr>
              <w:rPr>
                <w:rFonts w:eastAsiaTheme="minorEastAsia" w:cstheme="minorHAnsi"/>
              </w:rPr>
            </w:pPr>
          </w:p>
        </w:tc>
        <w:tc>
          <w:tcPr>
            <w:tcW w:w="1994" w:type="dxa"/>
          </w:tcPr>
          <w:p w14:paraId="0EB6D3B3" w14:textId="567A71FD" w:rsidR="004B67D1" w:rsidRPr="00FD5B96" w:rsidRDefault="423BADF8" w:rsidP="791A740F">
            <w:pPr>
              <w:rPr>
                <w:rFonts w:eastAsia="MS Gothic" w:cstheme="minorHAnsi"/>
              </w:rPr>
            </w:pPr>
            <w:r w:rsidRPr="00FD5B96">
              <w:rPr>
                <w:rFonts w:eastAsiaTheme="minorEastAsia" w:cstheme="minorHAnsi"/>
              </w:rPr>
              <w:t>Staff</w:t>
            </w:r>
            <w:r w:rsidR="5891F605" w:rsidRPr="00FD5B96">
              <w:rPr>
                <w:rFonts w:eastAsiaTheme="minorEastAsia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504040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4D49" w:rsidRPr="00FD5B9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  <w:p w14:paraId="50F0D9B5" w14:textId="16E421D1" w:rsidR="4682AFE8" w:rsidRPr="00FD5B96" w:rsidRDefault="4682AFE8" w:rsidP="4D76C2C4">
            <w:pPr>
              <w:rPr>
                <w:rFonts w:eastAsiaTheme="minorEastAsia" w:cstheme="minorHAnsi"/>
              </w:rPr>
            </w:pPr>
          </w:p>
        </w:tc>
      </w:tr>
      <w:tr w:rsidR="4D76C2C4" w:rsidRPr="00FD5B96" w14:paraId="5CA450B8" w14:textId="77777777" w:rsidTr="791A740F">
        <w:trPr>
          <w:trHeight w:val="300"/>
        </w:trPr>
        <w:tc>
          <w:tcPr>
            <w:tcW w:w="2263" w:type="dxa"/>
          </w:tcPr>
          <w:p w14:paraId="7130E4E0" w14:textId="58295AB2" w:rsidR="004B67D1" w:rsidRPr="00FD5B96" w:rsidRDefault="64C96453" w:rsidP="004B67D1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>Consult</w:t>
            </w:r>
            <w:r w:rsidR="004B67D1" w:rsidRPr="00FD5B96">
              <w:rPr>
                <w:rFonts w:eastAsiaTheme="minorEastAsia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55906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486C" w:rsidRPr="00FD5B9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  <w:p w14:paraId="0843B53A" w14:textId="7BC95C95" w:rsidR="64C96453" w:rsidRPr="00FD5B96" w:rsidRDefault="64C96453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268" w:type="dxa"/>
          </w:tcPr>
          <w:p w14:paraId="74970A2C" w14:textId="17F154A9" w:rsidR="004B67D1" w:rsidRPr="00FD5B96" w:rsidRDefault="00F77C41" w:rsidP="004B67D1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>Innovation in Teaching</w:t>
            </w:r>
            <w:sdt>
              <w:sdtPr>
                <w:rPr>
                  <w:rFonts w:cstheme="minorHAnsi"/>
                  <w:highlight w:val="yellow"/>
                </w:rPr>
                <w:id w:val="929542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68B5" w:rsidRPr="00FD5B96">
                  <w:rPr>
                    <w:rFonts w:ascii="Segoe UI Symbol" w:eastAsia="MS Gothic" w:hAnsi="Segoe UI Symbol" w:cs="Segoe UI Symbol"/>
                    <w:highlight w:val="yellow"/>
                  </w:rPr>
                  <w:t>☒</w:t>
                </w:r>
              </w:sdtContent>
            </w:sdt>
          </w:p>
          <w:p w14:paraId="58000F17" w14:textId="616E3504" w:rsidR="4FB28722" w:rsidRPr="00FD5B96" w:rsidRDefault="4FB28722" w:rsidP="4D76C2C4">
            <w:pPr>
              <w:rPr>
                <w:rFonts w:eastAsiaTheme="minorEastAsia" w:cstheme="minorHAnsi"/>
              </w:rPr>
            </w:pPr>
          </w:p>
          <w:p w14:paraId="223752F5" w14:textId="6096D81D" w:rsidR="4D76C2C4" w:rsidRPr="00FD5B96" w:rsidRDefault="4D76C2C4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835" w:type="dxa"/>
          </w:tcPr>
          <w:p w14:paraId="77BA9F96" w14:textId="3E849DF0" w:rsidR="4D76C2C4" w:rsidRPr="00FD5B96" w:rsidRDefault="367DA083" w:rsidP="2CCD9E84">
            <w:pPr>
              <w:rPr>
                <w:rFonts w:eastAsiaTheme="minorEastAsia" w:cstheme="minorHAnsi"/>
              </w:rPr>
            </w:pPr>
            <w:r w:rsidRPr="00FD5B96">
              <w:rPr>
                <w:rFonts w:eastAsiaTheme="minorEastAsia" w:cstheme="minorHAnsi"/>
              </w:rPr>
              <w:t>Academic Integrity</w:t>
            </w:r>
          </w:p>
          <w:sdt>
            <w:sdtPr>
              <w:rPr>
                <w:rFonts w:cstheme="minorHAnsi"/>
              </w:rPr>
              <w:id w:val="10416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9458DA" w14:textId="77777777" w:rsidR="4D76C2C4" w:rsidRPr="00FD5B96" w:rsidRDefault="367DA083" w:rsidP="4D76C2C4">
                <w:pPr>
                  <w:rPr>
                    <w:rFonts w:cstheme="minorHAnsi"/>
                  </w:rPr>
                </w:pPr>
                <w:r w:rsidRPr="00FD5B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12465871" w14:textId="351328E8" w:rsidR="4D76C2C4" w:rsidRPr="00FD5B96" w:rsidRDefault="4D76C2C4" w:rsidP="2CCD9E84">
            <w:pPr>
              <w:rPr>
                <w:rFonts w:eastAsiaTheme="minorEastAsia" w:cstheme="minorHAnsi"/>
              </w:rPr>
            </w:pPr>
          </w:p>
        </w:tc>
        <w:tc>
          <w:tcPr>
            <w:tcW w:w="1994" w:type="dxa"/>
          </w:tcPr>
          <w:p w14:paraId="01F68900" w14:textId="05C5AB56" w:rsidR="004B67D1" w:rsidRPr="00FD5B96" w:rsidRDefault="55303C76" w:rsidP="791A740F">
            <w:pPr>
              <w:rPr>
                <w:rFonts w:eastAsia="MS Gothic" w:cstheme="minorHAnsi"/>
              </w:rPr>
            </w:pPr>
            <w:r w:rsidRPr="00FD5B96">
              <w:rPr>
                <w:rFonts w:eastAsiaTheme="minorEastAsia" w:cstheme="minorHAnsi"/>
              </w:rPr>
              <w:t xml:space="preserve">Wider community </w:t>
            </w:r>
            <w:r w:rsidR="5891F605" w:rsidRPr="00FD5B96">
              <w:rPr>
                <w:rFonts w:eastAsiaTheme="minorEastAsia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14367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4D49" w:rsidRPr="00FD5B9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  <w:p w14:paraId="1377AF46" w14:textId="69F27B8C" w:rsidR="5D046058" w:rsidRPr="00FD5B96" w:rsidRDefault="5D046058" w:rsidP="4D76C2C4">
            <w:pPr>
              <w:spacing w:line="259" w:lineRule="auto"/>
              <w:rPr>
                <w:rFonts w:eastAsiaTheme="minorEastAsia" w:cstheme="minorHAnsi"/>
              </w:rPr>
            </w:pPr>
          </w:p>
        </w:tc>
      </w:tr>
      <w:tr w:rsidR="4D76C2C4" w:rsidRPr="00FD5B96" w14:paraId="2871D13F" w14:textId="77777777" w:rsidTr="791A740F">
        <w:trPr>
          <w:trHeight w:val="300"/>
        </w:trPr>
        <w:tc>
          <w:tcPr>
            <w:tcW w:w="2263" w:type="dxa"/>
          </w:tcPr>
          <w:p w14:paraId="2A8CE11C" w14:textId="4887FD60" w:rsidR="004B67D1" w:rsidRPr="00FD5B96" w:rsidRDefault="64C96453" w:rsidP="004B67D1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>Create</w:t>
            </w:r>
            <w:r w:rsidR="004B67D1" w:rsidRPr="00FD5B96">
              <w:rPr>
                <w:rFonts w:eastAsiaTheme="minorEastAsia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23055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486C" w:rsidRPr="00FD5B9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  <w:p w14:paraId="517F3FA0" w14:textId="79A4C663" w:rsidR="64C96453" w:rsidRPr="00FD5B96" w:rsidRDefault="64C96453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268" w:type="dxa"/>
          </w:tcPr>
          <w:p w14:paraId="53324FB1" w14:textId="5564449E" w:rsidR="004B67D1" w:rsidRPr="00FD5B96" w:rsidRDefault="00F77C41" w:rsidP="004B67D1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>Professional Development</w:t>
            </w:r>
            <w:r w:rsidR="004B67D1" w:rsidRPr="00FD5B96">
              <w:rPr>
                <w:rFonts w:eastAsiaTheme="minorEastAsia" w:cstheme="minorHAnsi"/>
              </w:rPr>
              <w:t xml:space="preserve">                                 </w:t>
            </w:r>
            <w:sdt>
              <w:sdtPr>
                <w:rPr>
                  <w:rFonts w:cstheme="minorHAnsi"/>
                  <w:highlight w:val="yellow"/>
                </w:rPr>
                <w:id w:val="364410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68B5" w:rsidRPr="00FD5B96">
                  <w:rPr>
                    <w:rFonts w:ascii="Segoe UI Symbol" w:eastAsia="MS Gothic" w:hAnsi="Segoe UI Symbol" w:cs="Segoe UI Symbol"/>
                    <w:highlight w:val="yellow"/>
                  </w:rPr>
                  <w:t>☒</w:t>
                </w:r>
              </w:sdtContent>
            </w:sdt>
          </w:p>
          <w:p w14:paraId="6B64DE53" w14:textId="4C281430" w:rsidR="4D76C2C4" w:rsidRPr="00FD5B96" w:rsidRDefault="4D76C2C4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835" w:type="dxa"/>
          </w:tcPr>
          <w:p w14:paraId="48EFB8E6" w14:textId="5D9A4C70" w:rsidR="4D76C2C4" w:rsidRPr="00FD5B96" w:rsidRDefault="3144F35D" w:rsidP="2CCD9E84">
            <w:pPr>
              <w:rPr>
                <w:rFonts w:eastAsiaTheme="minorEastAsia" w:cstheme="minorHAnsi"/>
              </w:rPr>
            </w:pPr>
            <w:r w:rsidRPr="00FD5B96">
              <w:rPr>
                <w:rFonts w:eastAsiaTheme="minorEastAsia" w:cstheme="minorHAnsi"/>
              </w:rPr>
              <w:t>Inclusive and Equitable Teaching Practices</w:t>
            </w:r>
          </w:p>
          <w:sdt>
            <w:sdtPr>
              <w:rPr>
                <w:rFonts w:cstheme="minorHAnsi"/>
                <w:highlight w:val="yellow"/>
              </w:rPr>
              <w:id w:val="185899002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7386CD6" w14:textId="6AD57D28" w:rsidR="4D76C2C4" w:rsidRPr="00FD5B96" w:rsidRDefault="006D68B5" w:rsidP="4D76C2C4">
                <w:pPr>
                  <w:rPr>
                    <w:rFonts w:cstheme="minorHAnsi"/>
                  </w:rPr>
                </w:pPr>
                <w:r w:rsidRPr="00FD5B96">
                  <w:rPr>
                    <w:rFonts w:ascii="Segoe UI Symbol" w:eastAsia="MS Gothic" w:hAnsi="Segoe UI Symbol" w:cs="Segoe UI Symbol"/>
                    <w:highlight w:val="yellow"/>
                  </w:rPr>
                  <w:t>☒</w:t>
                </w:r>
              </w:p>
            </w:sdtContent>
          </w:sdt>
          <w:p w14:paraId="568879D9" w14:textId="5CBC79AF" w:rsidR="4D76C2C4" w:rsidRPr="00FD5B96" w:rsidRDefault="4D76C2C4" w:rsidP="2CCD9E84">
            <w:pPr>
              <w:rPr>
                <w:rFonts w:eastAsiaTheme="minorEastAsia" w:cstheme="minorHAnsi"/>
              </w:rPr>
            </w:pPr>
          </w:p>
        </w:tc>
        <w:tc>
          <w:tcPr>
            <w:tcW w:w="1994" w:type="dxa"/>
          </w:tcPr>
          <w:p w14:paraId="077B26D0" w14:textId="77777777" w:rsidR="004B67D1" w:rsidRPr="00FD5B96" w:rsidRDefault="0325DB1F" w:rsidP="004B67D1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>Other</w:t>
            </w:r>
            <w:r w:rsidR="004B67D1" w:rsidRPr="00FD5B96">
              <w:rPr>
                <w:rFonts w:eastAsiaTheme="minorEastAsia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07250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 w:rsidRPr="00FD5B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5486CB" w14:textId="1A8C9CB5" w:rsidR="0325DB1F" w:rsidRPr="00FD5B96" w:rsidRDefault="0325DB1F" w:rsidP="4D76C2C4">
            <w:pPr>
              <w:rPr>
                <w:rFonts w:eastAsiaTheme="minorEastAsia" w:cstheme="minorHAnsi"/>
              </w:rPr>
            </w:pPr>
          </w:p>
        </w:tc>
      </w:tr>
      <w:tr w:rsidR="4D76C2C4" w:rsidRPr="00FD5B96" w14:paraId="6C85DB35" w14:textId="77777777" w:rsidTr="791A740F">
        <w:trPr>
          <w:trHeight w:val="300"/>
        </w:trPr>
        <w:tc>
          <w:tcPr>
            <w:tcW w:w="2263" w:type="dxa"/>
          </w:tcPr>
          <w:p w14:paraId="10E1361F" w14:textId="61EBEBF9" w:rsidR="004B67D1" w:rsidRPr="00FD5B96" w:rsidRDefault="64C96453" w:rsidP="004B67D1">
            <w:pPr>
              <w:rPr>
                <w:rFonts w:cstheme="minorHAnsi"/>
              </w:rPr>
            </w:pPr>
            <w:r w:rsidRPr="00FD5B96">
              <w:rPr>
                <w:rFonts w:eastAsiaTheme="minorEastAsia" w:cstheme="minorHAnsi"/>
              </w:rPr>
              <w:t xml:space="preserve">Celebrate </w:t>
            </w:r>
            <w:r w:rsidR="40D0435F" w:rsidRPr="00FD5B96">
              <w:rPr>
                <w:rFonts w:eastAsiaTheme="minorEastAsia" w:cstheme="minorHAnsi"/>
              </w:rPr>
              <w:t>&amp;</w:t>
            </w:r>
            <w:r w:rsidRPr="00FD5B96">
              <w:rPr>
                <w:rFonts w:eastAsiaTheme="minorEastAsia" w:cstheme="minorHAnsi"/>
              </w:rPr>
              <w:t xml:space="preserve"> Continue</w:t>
            </w:r>
            <w:r w:rsidR="004B67D1" w:rsidRPr="00FD5B96">
              <w:rPr>
                <w:rFonts w:eastAsiaTheme="minorEastAsia" w:cstheme="minorHAnsi"/>
              </w:rPr>
              <w:t xml:space="preserve"> </w:t>
            </w:r>
            <w:r w:rsidRPr="00FD5B96">
              <w:rPr>
                <w:rFonts w:eastAsiaTheme="minorEastAsia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867205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486C" w:rsidRPr="00FD5B9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  <w:p w14:paraId="4014549A" w14:textId="2AE5FC49" w:rsidR="64C96453" w:rsidRPr="00FD5B96" w:rsidRDefault="64C96453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268" w:type="dxa"/>
          </w:tcPr>
          <w:p w14:paraId="4675B59D" w14:textId="4D271A22" w:rsidR="4D76C2C4" w:rsidRPr="00FD5B96" w:rsidRDefault="00F77C41" w:rsidP="791A740F">
            <w:pPr>
              <w:rPr>
                <w:rFonts w:eastAsiaTheme="minorEastAsia" w:cstheme="minorHAnsi"/>
              </w:rPr>
            </w:pPr>
            <w:r w:rsidRPr="00FD5B96">
              <w:rPr>
                <w:rFonts w:eastAsiaTheme="minorEastAsia" w:cstheme="minorHAnsi"/>
              </w:rPr>
              <w:t>Research and Evaluation</w:t>
            </w:r>
            <w:r w:rsidRPr="00FD5B9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35100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4D49" w:rsidRPr="00FD5B9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  <w:tc>
          <w:tcPr>
            <w:tcW w:w="2835" w:type="dxa"/>
          </w:tcPr>
          <w:p w14:paraId="2644A55C" w14:textId="2A14F8EF" w:rsidR="4D76C2C4" w:rsidRPr="00FD5B96" w:rsidRDefault="5C5B25A3" w:rsidP="2CCD9E84">
            <w:pPr>
              <w:rPr>
                <w:rFonts w:eastAsiaTheme="minorEastAsia" w:cstheme="minorHAnsi"/>
              </w:rPr>
            </w:pPr>
            <w:r w:rsidRPr="00FD5B96">
              <w:rPr>
                <w:rFonts w:eastAsiaTheme="minorEastAsia" w:cstheme="minorHAnsi"/>
              </w:rPr>
              <w:t>Innovations in Assessment and Feedback</w:t>
            </w:r>
          </w:p>
          <w:sdt>
            <w:sdtPr>
              <w:rPr>
                <w:rFonts w:cstheme="minorHAnsi"/>
              </w:rPr>
              <w:id w:val="60482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0CF1DD" w14:textId="77777777" w:rsidR="4D76C2C4" w:rsidRPr="00FD5B96" w:rsidRDefault="5C5B25A3" w:rsidP="4D76C2C4">
                <w:pPr>
                  <w:rPr>
                    <w:rFonts w:cstheme="minorHAnsi"/>
                  </w:rPr>
                </w:pPr>
                <w:r w:rsidRPr="00FD5B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1004712B" w14:textId="038E06D9" w:rsidR="4D76C2C4" w:rsidRPr="00FD5B96" w:rsidRDefault="4D76C2C4" w:rsidP="2CCD9E84">
            <w:pPr>
              <w:rPr>
                <w:rFonts w:eastAsiaTheme="minorEastAsia" w:cstheme="minorHAnsi"/>
              </w:rPr>
            </w:pPr>
          </w:p>
        </w:tc>
        <w:tc>
          <w:tcPr>
            <w:tcW w:w="1994" w:type="dxa"/>
          </w:tcPr>
          <w:p w14:paraId="048A2566" w14:textId="79D8C028" w:rsidR="4D76C2C4" w:rsidRPr="00FD5B96" w:rsidRDefault="4D76C2C4" w:rsidP="4D76C2C4">
            <w:pPr>
              <w:rPr>
                <w:rFonts w:cstheme="minorHAnsi"/>
              </w:rPr>
            </w:pPr>
          </w:p>
        </w:tc>
      </w:tr>
      <w:tr w:rsidR="4D76C2C4" w:rsidRPr="00FD5B96" w14:paraId="67125046" w14:textId="77777777" w:rsidTr="791A740F">
        <w:trPr>
          <w:trHeight w:val="300"/>
        </w:trPr>
        <w:tc>
          <w:tcPr>
            <w:tcW w:w="2263" w:type="dxa"/>
          </w:tcPr>
          <w:p w14:paraId="1B5390AC" w14:textId="774FE2C2" w:rsidR="4D76C2C4" w:rsidRPr="00FD5B96" w:rsidRDefault="4D76C2C4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268" w:type="dxa"/>
          </w:tcPr>
          <w:p w14:paraId="47783E8C" w14:textId="0E64975F" w:rsidR="4D76C2C4" w:rsidRPr="00FD5B96" w:rsidRDefault="4D76C2C4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835" w:type="dxa"/>
          </w:tcPr>
          <w:p w14:paraId="0FB8EE98" w14:textId="446A8D77" w:rsidR="4D76C2C4" w:rsidRPr="00FD5B96" w:rsidRDefault="5C5B25A3" w:rsidP="2CCD9E84">
            <w:pPr>
              <w:rPr>
                <w:rFonts w:eastAsiaTheme="minorEastAsia" w:cstheme="minorHAnsi"/>
              </w:rPr>
            </w:pPr>
            <w:r w:rsidRPr="00FD5B96">
              <w:rPr>
                <w:rFonts w:eastAsiaTheme="minorEastAsia" w:cstheme="minorHAnsi"/>
              </w:rPr>
              <w:t>Student Engagement and Partnership</w:t>
            </w:r>
          </w:p>
          <w:sdt>
            <w:sdtPr>
              <w:rPr>
                <w:rFonts w:cstheme="minorHAnsi"/>
              </w:rPr>
              <w:id w:val="258426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A6E4A7" w14:textId="77777777" w:rsidR="4D76C2C4" w:rsidRPr="00FD5B96" w:rsidRDefault="5C5B25A3" w:rsidP="4D76C2C4">
                <w:pPr>
                  <w:rPr>
                    <w:rFonts w:cstheme="minorHAnsi"/>
                  </w:rPr>
                </w:pPr>
                <w:r w:rsidRPr="00FD5B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1806A4EB" w14:textId="586EBD83" w:rsidR="4D76C2C4" w:rsidRPr="00FD5B96" w:rsidRDefault="4D76C2C4" w:rsidP="2CCD9E84">
            <w:pPr>
              <w:rPr>
                <w:rFonts w:eastAsiaTheme="minorEastAsia" w:cstheme="minorHAnsi"/>
              </w:rPr>
            </w:pPr>
          </w:p>
          <w:p w14:paraId="6B125D75" w14:textId="7595253A" w:rsidR="4D76C2C4" w:rsidRPr="00FD5B96" w:rsidRDefault="4D76C2C4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1994" w:type="dxa"/>
          </w:tcPr>
          <w:p w14:paraId="1B56B7FD" w14:textId="12FEC19C" w:rsidR="4D76C2C4" w:rsidRPr="00FD5B96" w:rsidRDefault="4D76C2C4" w:rsidP="4D76C2C4">
            <w:pPr>
              <w:rPr>
                <w:rFonts w:cstheme="minorHAnsi"/>
              </w:rPr>
            </w:pPr>
          </w:p>
        </w:tc>
      </w:tr>
      <w:tr w:rsidR="4D76C2C4" w:rsidRPr="00FD5B96" w14:paraId="508DB718" w14:textId="77777777" w:rsidTr="791A740F">
        <w:trPr>
          <w:trHeight w:val="300"/>
        </w:trPr>
        <w:tc>
          <w:tcPr>
            <w:tcW w:w="2263" w:type="dxa"/>
          </w:tcPr>
          <w:p w14:paraId="415939F4" w14:textId="13C3E105" w:rsidR="4D76C2C4" w:rsidRPr="00FD5B96" w:rsidRDefault="4D76C2C4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268" w:type="dxa"/>
          </w:tcPr>
          <w:p w14:paraId="4A0DE4F2" w14:textId="78E03727" w:rsidR="4D76C2C4" w:rsidRPr="00FD5B96" w:rsidRDefault="4D76C2C4" w:rsidP="4D76C2C4">
            <w:pPr>
              <w:rPr>
                <w:rFonts w:eastAsiaTheme="minorEastAsia" w:cstheme="minorHAnsi"/>
              </w:rPr>
            </w:pPr>
          </w:p>
        </w:tc>
        <w:tc>
          <w:tcPr>
            <w:tcW w:w="2835" w:type="dxa"/>
          </w:tcPr>
          <w:p w14:paraId="7CD5CE98" w14:textId="1D0235D9" w:rsidR="4D76C2C4" w:rsidRPr="00FD5B96" w:rsidRDefault="5C5B25A3" w:rsidP="2CCD9E84">
            <w:pPr>
              <w:rPr>
                <w:rFonts w:eastAsiaTheme="minorEastAsia" w:cstheme="minorHAnsi"/>
                <w:sz w:val="20"/>
                <w:szCs w:val="20"/>
              </w:rPr>
            </w:pPr>
            <w:r w:rsidRPr="00FD5B96">
              <w:rPr>
                <w:rFonts w:eastAsiaTheme="minorEastAsia" w:cstheme="minorHAnsi"/>
              </w:rPr>
              <w:t>Collaborative and Interdisciplinary Approaches</w:t>
            </w:r>
          </w:p>
          <w:sdt>
            <w:sdtPr>
              <w:rPr>
                <w:rFonts w:cstheme="minorHAnsi"/>
                <w:highlight w:val="yellow"/>
              </w:rPr>
              <w:id w:val="14428028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FBBF569" w14:textId="1CE274B3" w:rsidR="4D76C2C4" w:rsidRPr="00FD5B96" w:rsidRDefault="006D68B5" w:rsidP="4D76C2C4">
                <w:pPr>
                  <w:rPr>
                    <w:rFonts w:cstheme="minorHAnsi"/>
                  </w:rPr>
                </w:pPr>
                <w:r w:rsidRPr="00FD5B96">
                  <w:rPr>
                    <w:rFonts w:ascii="Segoe UI Symbol" w:eastAsia="MS Gothic" w:hAnsi="Segoe UI Symbol" w:cs="Segoe UI Symbol"/>
                    <w:highlight w:val="yellow"/>
                  </w:rPr>
                  <w:t>☒</w:t>
                </w:r>
              </w:p>
            </w:sdtContent>
          </w:sdt>
          <w:p w14:paraId="6A65D662" w14:textId="5A7285C5" w:rsidR="4D76C2C4" w:rsidRPr="00FD5B96" w:rsidRDefault="4D76C2C4" w:rsidP="2CCD9E84">
            <w:pPr>
              <w:rPr>
                <w:rFonts w:eastAsiaTheme="minorEastAsia" w:cstheme="minorHAnsi"/>
              </w:rPr>
            </w:pPr>
          </w:p>
        </w:tc>
        <w:tc>
          <w:tcPr>
            <w:tcW w:w="1994" w:type="dxa"/>
          </w:tcPr>
          <w:p w14:paraId="37EA46BB" w14:textId="597ED12B" w:rsidR="4D76C2C4" w:rsidRPr="00FD5B96" w:rsidRDefault="4D76C2C4" w:rsidP="4D76C2C4">
            <w:pPr>
              <w:rPr>
                <w:rFonts w:cstheme="minorHAnsi"/>
              </w:rPr>
            </w:pPr>
          </w:p>
        </w:tc>
      </w:tr>
      <w:tr w:rsidR="4D76C2C4" w:rsidRPr="00FD5B96" w14:paraId="239C46B2" w14:textId="77777777" w:rsidTr="791A740F">
        <w:trPr>
          <w:trHeight w:val="300"/>
        </w:trPr>
        <w:tc>
          <w:tcPr>
            <w:tcW w:w="2263" w:type="dxa"/>
          </w:tcPr>
          <w:p w14:paraId="354ECACA" w14:textId="0F6DAD34" w:rsidR="4D76C2C4" w:rsidRPr="00FD5B96" w:rsidRDefault="4D76C2C4" w:rsidP="4D76C2C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04E7DAE" w14:textId="08272CA4" w:rsidR="4D76C2C4" w:rsidRPr="00FD5B96" w:rsidRDefault="4D76C2C4" w:rsidP="4D76C2C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54D29EE" w14:textId="1FD3F262" w:rsidR="004B67D1" w:rsidRPr="00FD5B96" w:rsidRDefault="5C5B25A3" w:rsidP="2CCD9E84">
            <w:pPr>
              <w:rPr>
                <w:rFonts w:eastAsiaTheme="minorEastAsia" w:cstheme="minorHAnsi"/>
              </w:rPr>
            </w:pPr>
            <w:r w:rsidRPr="00FD5B96">
              <w:rPr>
                <w:rFonts w:eastAsiaTheme="minorEastAsia" w:cstheme="minorHAnsi"/>
              </w:rPr>
              <w:t>Artificial Intelligence</w:t>
            </w:r>
          </w:p>
          <w:sdt>
            <w:sdtPr>
              <w:rPr>
                <w:rFonts w:cstheme="minorHAnsi"/>
              </w:rPr>
              <w:id w:val="1670840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B823CF" w14:textId="77777777" w:rsidR="004B67D1" w:rsidRPr="00FD5B96" w:rsidRDefault="5C5B25A3" w:rsidP="4D76C2C4">
                <w:pPr>
                  <w:rPr>
                    <w:rFonts w:cstheme="minorHAnsi"/>
                  </w:rPr>
                </w:pPr>
                <w:r w:rsidRPr="00FD5B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59F04166" w14:textId="7CBDF9A5" w:rsidR="004B67D1" w:rsidRPr="00FD5B96" w:rsidRDefault="004B67D1" w:rsidP="2CCD9E84">
            <w:pPr>
              <w:rPr>
                <w:rFonts w:eastAsiaTheme="minorEastAsia" w:cstheme="minorHAnsi"/>
              </w:rPr>
            </w:pPr>
          </w:p>
        </w:tc>
        <w:tc>
          <w:tcPr>
            <w:tcW w:w="1994" w:type="dxa"/>
          </w:tcPr>
          <w:p w14:paraId="446DEDFE" w14:textId="3DFF52F3" w:rsidR="4D76C2C4" w:rsidRPr="00FD5B96" w:rsidRDefault="4D76C2C4" w:rsidP="4D76C2C4">
            <w:pPr>
              <w:rPr>
                <w:rFonts w:cstheme="minorHAnsi"/>
              </w:rPr>
            </w:pPr>
          </w:p>
        </w:tc>
      </w:tr>
      <w:tr w:rsidR="4D76C2C4" w:rsidRPr="00FD5B96" w14:paraId="14AA5248" w14:textId="77777777" w:rsidTr="791A740F">
        <w:trPr>
          <w:trHeight w:val="300"/>
        </w:trPr>
        <w:tc>
          <w:tcPr>
            <w:tcW w:w="2263" w:type="dxa"/>
          </w:tcPr>
          <w:p w14:paraId="681D0E3E" w14:textId="2397A2BE" w:rsidR="4D76C2C4" w:rsidRPr="00FD5B96" w:rsidRDefault="4D76C2C4" w:rsidP="4D76C2C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666C6F0" w14:textId="1CA12492" w:rsidR="4D76C2C4" w:rsidRPr="00FD5B96" w:rsidRDefault="4D76C2C4" w:rsidP="4D76C2C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6AF826C" w14:textId="3AE07A02" w:rsidR="004B67D1" w:rsidRPr="00FD5B96" w:rsidRDefault="5C5B25A3" w:rsidP="2CCD9E84">
            <w:pPr>
              <w:rPr>
                <w:rFonts w:eastAsiaTheme="minorEastAsia" w:cstheme="minorHAnsi"/>
              </w:rPr>
            </w:pPr>
            <w:r w:rsidRPr="00FD5B96">
              <w:rPr>
                <w:rFonts w:eastAsiaTheme="minorEastAsia" w:cstheme="minorHAnsi"/>
              </w:rPr>
              <w:t xml:space="preserve">Other </w:t>
            </w:r>
          </w:p>
          <w:sdt>
            <w:sdtPr>
              <w:rPr>
                <w:rFonts w:cstheme="minorHAnsi"/>
              </w:rPr>
              <w:id w:val="255081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0AFC75" w14:textId="5072131A" w:rsidR="004B67D1" w:rsidRPr="00FD5B96" w:rsidRDefault="5C5B25A3" w:rsidP="4D76C2C4">
                <w:pPr>
                  <w:rPr>
                    <w:rFonts w:cstheme="minorHAnsi"/>
                  </w:rPr>
                </w:pPr>
                <w:r w:rsidRPr="00FD5B9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p w14:paraId="76C4B626" w14:textId="45285CE2" w:rsidR="004B67D1" w:rsidRPr="00FD5B96" w:rsidRDefault="004B67D1" w:rsidP="2CCD9E84">
            <w:pPr>
              <w:rPr>
                <w:rFonts w:eastAsiaTheme="minorEastAsia" w:cstheme="minorHAnsi"/>
              </w:rPr>
            </w:pPr>
          </w:p>
        </w:tc>
        <w:tc>
          <w:tcPr>
            <w:tcW w:w="1994" w:type="dxa"/>
          </w:tcPr>
          <w:p w14:paraId="67F83151" w14:textId="2ACAC41B" w:rsidR="4D76C2C4" w:rsidRPr="00FD5B96" w:rsidRDefault="4D76C2C4" w:rsidP="4D76C2C4">
            <w:pPr>
              <w:rPr>
                <w:rFonts w:cstheme="minorHAnsi"/>
              </w:rPr>
            </w:pPr>
          </w:p>
        </w:tc>
      </w:tr>
    </w:tbl>
    <w:p w14:paraId="33376E63" w14:textId="0E8ADB54" w:rsidR="4D76C2C4" w:rsidRPr="00FD5B96" w:rsidRDefault="4D76C2C4" w:rsidP="4D76C2C4">
      <w:pPr>
        <w:rPr>
          <w:rFonts w:eastAsiaTheme="minorEastAsia" w:cstheme="minorHAnsi"/>
          <w:b/>
          <w:bCs/>
        </w:rPr>
      </w:pPr>
    </w:p>
    <w:p w14:paraId="19D0D66E" w14:textId="77777777" w:rsidR="00F33081" w:rsidRDefault="00F33081">
      <w:pPr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br w:type="page"/>
      </w:r>
    </w:p>
    <w:p w14:paraId="2BE13540" w14:textId="75A0184A" w:rsidR="58A24372" w:rsidRPr="00FD5B96" w:rsidRDefault="58A24372" w:rsidP="4D76C2C4">
      <w:pPr>
        <w:rPr>
          <w:rFonts w:eastAsiaTheme="minorEastAsia" w:cstheme="minorHAnsi"/>
          <w:b/>
          <w:bCs/>
        </w:rPr>
      </w:pPr>
      <w:r w:rsidRPr="00FD5B96">
        <w:rPr>
          <w:rFonts w:eastAsiaTheme="minorEastAsia" w:cstheme="minorHAnsi"/>
          <w:b/>
          <w:bCs/>
        </w:rPr>
        <w:lastRenderedPageBreak/>
        <w:t>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:rsidRPr="00FD5B96" w14:paraId="157B1DB6" w14:textId="77777777" w:rsidTr="791A740F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44C4BE8" w14:textId="7EC1199F" w:rsidR="58A24372" w:rsidRPr="00FD5B96" w:rsidRDefault="58A24372" w:rsidP="4D76C2C4">
            <w:pPr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>Contact Name</w:t>
            </w:r>
            <w:r w:rsidR="006A77B1" w:rsidRPr="00FD5B96">
              <w:rPr>
                <w:rFonts w:eastAsiaTheme="minorEastAsia" w:cstheme="minorHAnsi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5212669" w14:textId="5061A7A7" w:rsidR="4D76C2C4" w:rsidRPr="00FD5B96" w:rsidRDefault="6A5FBC85" w:rsidP="791A740F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  <w:r w:rsidRPr="00FD5B96"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  <w:t xml:space="preserve">MU </w:t>
            </w:r>
            <w:r w:rsidR="41BA2A24" w:rsidRPr="00FD5B96"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  <w:t>Centre for Teaching and Learning</w:t>
            </w:r>
            <w:r w:rsidR="677F687D" w:rsidRPr="00FD5B96"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  <w:t>:</w:t>
            </w:r>
            <w:r w:rsidR="41BA2A24" w:rsidRPr="00FD5B96"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  <w:t xml:space="preserve"> </w:t>
            </w:r>
            <w:r w:rsidR="27C2F8E4" w:rsidRPr="00FD5B96">
              <w:rPr>
                <w:rFonts w:eastAsia="Calibri" w:cstheme="minorHAnsi"/>
                <w:color w:val="000000" w:themeColor="text1"/>
                <w:lang w:val="en-IE"/>
              </w:rPr>
              <w:t>Lisa O’Regan, Dr Alison Farrell</w:t>
            </w:r>
          </w:p>
          <w:p w14:paraId="448762CD" w14:textId="0F9AD74B" w:rsidR="4D76C2C4" w:rsidRPr="00FD5B96" w:rsidRDefault="4D76C2C4" w:rsidP="791A740F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</w:p>
          <w:p w14:paraId="653C28F0" w14:textId="1ADD9DB1" w:rsidR="4D76C2C4" w:rsidRPr="00FD5B96" w:rsidRDefault="53B1AFCD" w:rsidP="791A740F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  <w:r w:rsidRPr="00FD5B96"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  <w:t>UDL T&amp;L Fellows:</w:t>
            </w:r>
            <w:r w:rsidRPr="00FD5B96">
              <w:rPr>
                <w:rFonts w:eastAsia="Calibri" w:cstheme="minorHAnsi"/>
                <w:color w:val="000000" w:themeColor="text1"/>
                <w:lang w:val="en-IE"/>
              </w:rPr>
              <w:t xml:space="preserve"> </w:t>
            </w:r>
            <w:r w:rsidR="76AFA4A2" w:rsidRPr="0004564D">
              <w:rPr>
                <w:rFonts w:eastAsia="Calibri" w:cstheme="minorHAnsi"/>
                <w:color w:val="000000" w:themeColor="text1"/>
                <w:lang w:val="en-IE"/>
              </w:rPr>
              <w:t>Dr Marian Crowley-Henry,</w:t>
            </w:r>
            <w:r w:rsidR="0004564D" w:rsidRPr="0004564D">
              <w:rPr>
                <w:rFonts w:eastAsia="Calibri" w:cstheme="minorHAnsi"/>
                <w:color w:val="000000" w:themeColor="text1"/>
                <w:lang w:val="en-IE"/>
              </w:rPr>
              <w:t xml:space="preserve"> </w:t>
            </w:r>
            <w:r w:rsidR="2D86A29D" w:rsidRPr="0004564D">
              <w:rPr>
                <w:rFonts w:eastAsia="Calibri" w:cstheme="minorHAnsi"/>
                <w:color w:val="000000" w:themeColor="text1"/>
                <w:lang w:val="en-IE"/>
              </w:rPr>
              <w:t xml:space="preserve">Dr </w:t>
            </w:r>
            <w:r w:rsidR="2D86A29D" w:rsidRPr="00FD5B96">
              <w:rPr>
                <w:rFonts w:eastAsia="Calibri" w:cstheme="minorHAnsi"/>
                <w:color w:val="000000" w:themeColor="text1"/>
                <w:lang w:val="en-IE"/>
              </w:rPr>
              <w:t>Margaret Flood</w:t>
            </w:r>
            <w:r w:rsidR="3C20B859" w:rsidRPr="00FD5B96">
              <w:rPr>
                <w:rFonts w:eastAsia="Calibri" w:cstheme="minorHAnsi"/>
                <w:color w:val="000000" w:themeColor="text1"/>
                <w:lang w:val="en-IE"/>
              </w:rPr>
              <w:t xml:space="preserve">, </w:t>
            </w:r>
            <w:r w:rsidR="27B0E6B7" w:rsidRPr="00FD5B96">
              <w:rPr>
                <w:rFonts w:eastAsia="Calibri" w:cstheme="minorHAnsi"/>
                <w:color w:val="000000" w:themeColor="text1"/>
                <w:lang w:val="en-IE"/>
              </w:rPr>
              <w:t xml:space="preserve">Prof </w:t>
            </w:r>
            <w:r w:rsidR="1E35A044" w:rsidRPr="00FD5B96">
              <w:rPr>
                <w:rFonts w:eastAsia="Calibri" w:cstheme="minorHAnsi"/>
                <w:color w:val="000000" w:themeColor="text1"/>
                <w:lang w:val="en-IE"/>
              </w:rPr>
              <w:t>Denise Rooney,</w:t>
            </w:r>
            <w:r w:rsidR="00484075" w:rsidRPr="00FD5B96">
              <w:rPr>
                <w:rFonts w:eastAsia="Calibri" w:cstheme="minorHAnsi"/>
                <w:color w:val="000000" w:themeColor="text1"/>
                <w:lang w:val="en-IE"/>
              </w:rPr>
              <w:t xml:space="preserve"> </w:t>
            </w:r>
            <w:r w:rsidR="4DD7DEE5" w:rsidRPr="00FD5B96">
              <w:rPr>
                <w:rFonts w:eastAsia="Calibri" w:cstheme="minorHAnsi"/>
                <w:color w:val="000000" w:themeColor="text1"/>
                <w:lang w:val="en-IE"/>
              </w:rPr>
              <w:t xml:space="preserve">Prof Moynagh Sullivan </w:t>
            </w:r>
          </w:p>
          <w:p w14:paraId="4776EC87" w14:textId="5CF7E4E1" w:rsidR="4D76C2C4" w:rsidRPr="00FD5B96" w:rsidRDefault="4D76C2C4" w:rsidP="791A740F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</w:p>
          <w:p w14:paraId="79A68121" w14:textId="5825CAD0" w:rsidR="4D76C2C4" w:rsidRPr="00FD5B96" w:rsidRDefault="4DD7DEE5" w:rsidP="791A740F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  <w:r w:rsidRPr="00B02F53"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  <w:t>Maynooth Access Programme:</w:t>
            </w:r>
            <w:r w:rsidRPr="00FD5B96">
              <w:rPr>
                <w:rFonts w:eastAsia="Calibri" w:cstheme="minorHAnsi"/>
                <w:color w:val="000000" w:themeColor="text1"/>
                <w:lang w:val="en-IE"/>
              </w:rPr>
              <w:t xml:space="preserve"> </w:t>
            </w:r>
            <w:r w:rsidR="00AF748C" w:rsidRPr="00FD5B96">
              <w:rPr>
                <w:rFonts w:eastAsia="Calibri" w:cstheme="minorHAnsi"/>
                <w:color w:val="000000" w:themeColor="text1"/>
                <w:lang w:val="en-IE"/>
              </w:rPr>
              <w:t xml:space="preserve"> </w:t>
            </w:r>
            <w:r w:rsidR="1E35A044" w:rsidRPr="00FD5B96">
              <w:rPr>
                <w:rFonts w:eastAsia="Calibri" w:cstheme="minorHAnsi"/>
                <w:color w:val="000000" w:themeColor="text1"/>
                <w:lang w:val="en-IE"/>
              </w:rPr>
              <w:t>Dr Rosario Ryan</w:t>
            </w:r>
          </w:p>
          <w:p w14:paraId="26A459B8" w14:textId="43539C78" w:rsidR="006A77B1" w:rsidRPr="00FD5B96" w:rsidRDefault="006A77B1" w:rsidP="4D76C2C4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</w:p>
        </w:tc>
      </w:tr>
      <w:tr w:rsidR="4D76C2C4" w:rsidRPr="00FD5B96" w14:paraId="18C413E6" w14:textId="77777777" w:rsidTr="791A740F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785EAB2" w14:textId="674DD7F0" w:rsidR="2DDBD4D0" w:rsidRPr="00FD5B96" w:rsidRDefault="2DDBD4D0" w:rsidP="4D76C2C4">
            <w:pPr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AD6789D" w14:textId="263AAF36" w:rsidR="4D76C2C4" w:rsidRPr="00FD5B96" w:rsidRDefault="3C20B859" w:rsidP="4D76C2C4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</w:pPr>
            <w:r w:rsidRPr="00FD5B96"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  <w:t>18 November, 2024.</w:t>
            </w:r>
          </w:p>
          <w:p w14:paraId="4A1B23DA" w14:textId="03B4D184" w:rsidR="006A77B1" w:rsidRPr="00FD5B96" w:rsidRDefault="006A77B1" w:rsidP="4D76C2C4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</w:p>
        </w:tc>
      </w:tr>
      <w:tr w:rsidR="4D76C2C4" w:rsidRPr="00FD5B96" w14:paraId="5CE43459" w14:textId="77777777" w:rsidTr="791A740F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29D98A35" w14:textId="77777777" w:rsidR="58A24372" w:rsidRPr="00FD5B96" w:rsidRDefault="58A24372" w:rsidP="4D76C2C4">
            <w:pPr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>Email Address</w:t>
            </w:r>
          </w:p>
          <w:p w14:paraId="24960703" w14:textId="5100E18C" w:rsidR="006A77B1" w:rsidRPr="00FD5B96" w:rsidRDefault="006A77B1" w:rsidP="4D76C2C4">
            <w:pPr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750C8F4" w14:textId="7787A37B" w:rsidR="4D76C2C4" w:rsidRPr="00FD5B96" w:rsidRDefault="00263C55" w:rsidP="4D76C2C4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</w:pPr>
            <w:hyperlink r:id="rId22" w:history="1">
              <w:r w:rsidRPr="00E231FF">
                <w:rPr>
                  <w:rStyle w:val="Hyperlink"/>
                  <w:rFonts w:ascii="Calibri" w:eastAsia="Calibri" w:hAnsi="Calibri" w:cs="Calibri"/>
                  <w:lang w:val="en-IE"/>
                </w:rPr>
                <w:t>teachingandlearning@mu.ie</w:t>
              </w:r>
            </w:hyperlink>
          </w:p>
        </w:tc>
      </w:tr>
      <w:tr w:rsidR="4D76C2C4" w:rsidRPr="00FD5B96" w14:paraId="3921D51E" w14:textId="77777777" w:rsidTr="791A740F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4D87E04E" w14:textId="7ED29C23" w:rsidR="58A24372" w:rsidRPr="00FD5B96" w:rsidRDefault="58A24372" w:rsidP="4D76C2C4">
            <w:pPr>
              <w:rPr>
                <w:rFonts w:eastAsiaTheme="minorEastAsia" w:cstheme="minorHAnsi"/>
                <w:b/>
                <w:bCs/>
              </w:rPr>
            </w:pPr>
            <w:r w:rsidRPr="00FD5B96">
              <w:rPr>
                <w:rFonts w:eastAsiaTheme="minorEastAsia" w:cstheme="minorHAnsi"/>
                <w:b/>
                <w:bCs/>
              </w:rPr>
              <w:t>Links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035C6BA7" w14:textId="22841822" w:rsidR="00A31A07" w:rsidRDefault="3C20B859" w:rsidP="4D76C2C4">
            <w:pPr>
              <w:spacing w:line="259" w:lineRule="auto"/>
              <w:rPr>
                <w:rStyle w:val="Hyperlink"/>
                <w:rFonts w:eastAsia="Calibri" w:cstheme="minorHAnsi"/>
                <w:lang w:val="en-IE"/>
              </w:rPr>
            </w:pPr>
            <w:r w:rsidRPr="00FD5B96">
              <w:rPr>
                <w:rFonts w:eastAsia="Calibri" w:cstheme="minorHAnsi"/>
                <w:b/>
                <w:bCs/>
                <w:color w:val="000000" w:themeColor="text1"/>
              </w:rPr>
              <w:t>MU</w:t>
            </w:r>
            <w:r w:rsidR="2F94BAD0" w:rsidRPr="00FD5B96">
              <w:rPr>
                <w:rFonts w:eastAsia="Calibri" w:cstheme="minorHAnsi"/>
                <w:b/>
                <w:bCs/>
                <w:color w:val="000000" w:themeColor="text1"/>
              </w:rPr>
              <w:t xml:space="preserve">: </w:t>
            </w:r>
            <w:r w:rsidRPr="00FD5B96">
              <w:rPr>
                <w:rFonts w:eastAsia="Calibri" w:cstheme="minorHAnsi"/>
                <w:b/>
                <w:bCs/>
                <w:color w:val="000000" w:themeColor="text1"/>
              </w:rPr>
              <w:t>UDL &amp; U</w:t>
            </w:r>
            <w:r w:rsidR="00955DA3" w:rsidRPr="00FD5B96">
              <w:rPr>
                <w:rFonts w:eastAsia="Calibri" w:cstheme="minorHAnsi"/>
                <w:b/>
                <w:bCs/>
                <w:color w:val="000000" w:themeColor="text1"/>
              </w:rPr>
              <w:t xml:space="preserve"> - </w:t>
            </w:r>
            <w:r w:rsidRPr="00FD5B96">
              <w:rPr>
                <w:rFonts w:eastAsia="Calibri" w:cstheme="minorHAnsi"/>
                <w:b/>
                <w:bCs/>
                <w:color w:val="000000" w:themeColor="text1"/>
              </w:rPr>
              <w:t>Building a Culture of Inclusion in Maynooth University</w:t>
            </w:r>
            <w:r w:rsidRPr="00FD5B96">
              <w:rPr>
                <w:rFonts w:eastAsia="Calibri" w:cstheme="minorHAnsi"/>
                <w:color w:val="000000" w:themeColor="text1"/>
              </w:rPr>
              <w:t> </w:t>
            </w:r>
            <w:r w:rsidR="2B0B5B27" w:rsidRPr="00FD5B96"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  <w:t xml:space="preserve">Web Page: </w:t>
            </w:r>
            <w:hyperlink r:id="rId23" w:history="1">
              <w:r w:rsidR="00AF748C" w:rsidRPr="00FD5B96">
                <w:rPr>
                  <w:rStyle w:val="Hyperlink"/>
                  <w:rFonts w:eastAsia="Calibri" w:cstheme="minorHAnsi"/>
                  <w:lang w:val="en-IE"/>
                </w:rPr>
                <w:t>https://www.maynoothuniversity.ie/centre-teaching-and-learning/ctl-projects/path-initiative</w:t>
              </w:r>
            </w:hyperlink>
          </w:p>
          <w:p w14:paraId="530124BD" w14:textId="77777777" w:rsidR="00AF748C" w:rsidRPr="00FD5B96" w:rsidRDefault="00AF748C" w:rsidP="4D76C2C4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</w:p>
          <w:p w14:paraId="0C694052" w14:textId="61F6B60B" w:rsidR="0004564D" w:rsidRPr="0004564D" w:rsidRDefault="0004564D" w:rsidP="4D76C2C4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</w:pPr>
            <w:r w:rsidRPr="0004564D"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  <w:t>MU: UDL &amp; U Plus One  - Providing students with choice of content</w:t>
            </w:r>
          </w:p>
          <w:p w14:paraId="40904599" w14:textId="77777777" w:rsidR="0004564D" w:rsidRPr="0004564D" w:rsidRDefault="0004564D" w:rsidP="0004564D">
            <w:pPr>
              <w:rPr>
                <w:rFonts w:eastAsia="Calibri" w:cstheme="minorHAnsi"/>
                <w:color w:val="000000" w:themeColor="text1"/>
                <w:lang w:val="en-IE"/>
              </w:rPr>
            </w:pPr>
            <w:r>
              <w:rPr>
                <w:rFonts w:eastAsia="Calibri" w:cstheme="minorHAnsi"/>
                <w:color w:val="000000" w:themeColor="text1"/>
                <w:lang w:val="en-IE"/>
              </w:rPr>
              <w:t xml:space="preserve">Link: </w:t>
            </w:r>
            <w:hyperlink r:id="rId24" w:tooltip="Original URL:&#10;https://www.maynoothuniversity.ie/sites/default/files/assets/document//7.%20Plus%201%20Offering%20content%20choice%20example%20Final.pdf&#10;&#10;Click to follow link." w:history="1">
              <w:r w:rsidRPr="0004564D">
                <w:rPr>
                  <w:rStyle w:val="Hyperlink"/>
                  <w:rFonts w:eastAsia="Calibri" w:cstheme="minorHAnsi"/>
                  <w:lang w:val="en-IE"/>
                </w:rPr>
                <w:t>https://www.maynoothuniversity.ie/sites/default/files/assets/document//7.%20Plus%201%20Offering%20content%20choice%20example%20Final.pdf</w:t>
              </w:r>
            </w:hyperlink>
          </w:p>
          <w:p w14:paraId="330713AB" w14:textId="77777777" w:rsidR="0004564D" w:rsidRDefault="0004564D" w:rsidP="0004564D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</w:pPr>
          </w:p>
          <w:p w14:paraId="6A9B0D0F" w14:textId="768A4F09" w:rsidR="0004564D" w:rsidRPr="0004564D" w:rsidRDefault="0004564D" w:rsidP="0004564D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</w:pPr>
            <w:r w:rsidRPr="0004564D">
              <w:rPr>
                <w:rFonts w:eastAsia="Calibri" w:cstheme="minorHAnsi"/>
                <w:b/>
                <w:bCs/>
                <w:color w:val="000000" w:themeColor="text1"/>
                <w:lang w:val="en-IE"/>
              </w:rPr>
              <w:t>MU: UDL &amp; U Plus One  - Creating an inclusive space</w:t>
            </w:r>
          </w:p>
          <w:p w14:paraId="79CAD4BF" w14:textId="5950DA01" w:rsidR="0004564D" w:rsidRPr="0004564D" w:rsidRDefault="0004564D" w:rsidP="0004564D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  <w:r>
              <w:rPr>
                <w:rFonts w:eastAsia="Calibri" w:cstheme="minorHAnsi"/>
                <w:color w:val="000000" w:themeColor="text1"/>
                <w:lang w:val="en-IE"/>
              </w:rPr>
              <w:t>Link:</w:t>
            </w:r>
          </w:p>
          <w:p w14:paraId="75509F3E" w14:textId="77777777" w:rsidR="0004564D" w:rsidRPr="0004564D" w:rsidRDefault="0004564D" w:rsidP="0004564D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  <w:hyperlink r:id="rId25" w:tooltip="Original URL:&#10;https://www.maynoothuniversity.ie/sites/default/files/assets/document//1.%20Plus%201%20Announcing%20that%20Module%20is%20Inclusive%20Space%20Final.pdf&#10;&#10;Click to follow link." w:history="1">
              <w:r w:rsidRPr="0004564D">
                <w:rPr>
                  <w:rStyle w:val="Hyperlink"/>
                  <w:rFonts w:eastAsia="Calibri" w:cstheme="minorHAnsi"/>
                  <w:lang w:val="en-IE"/>
                </w:rPr>
                <w:t>https://www.maynoothuniversity.ie/sites/default/files/assets/document//1.%20Plus%201%20Announcing%20that%20Module%20is%20Inclusive%20Space%20Final.pdf</w:t>
              </w:r>
            </w:hyperlink>
          </w:p>
          <w:p w14:paraId="78D324AA" w14:textId="30F9F11B" w:rsidR="0004564D" w:rsidRDefault="0004564D" w:rsidP="4D76C2C4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</w:p>
          <w:p w14:paraId="0800F00C" w14:textId="77777777" w:rsidR="0004564D" w:rsidRDefault="0004564D" w:rsidP="4D76C2C4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</w:p>
          <w:p w14:paraId="39BF2EDE" w14:textId="039BB87B" w:rsidR="00AF748C" w:rsidRPr="00FD5B96" w:rsidRDefault="00AF748C" w:rsidP="4D76C2C4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  <w:r w:rsidRPr="00FD5B96">
              <w:rPr>
                <w:rFonts w:eastAsia="Calibri" w:cstheme="minorHAnsi"/>
                <w:color w:val="000000" w:themeColor="text1"/>
                <w:lang w:val="en-IE"/>
              </w:rPr>
              <w:t>Attachments:</w:t>
            </w:r>
          </w:p>
          <w:p w14:paraId="59F4EF74" w14:textId="5AEE50B9" w:rsidR="00955DA3" w:rsidRPr="00196914" w:rsidRDefault="00D779CD" w:rsidP="00196914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color w:val="000000" w:themeColor="text1"/>
                <w:lang w:val="en-IE"/>
              </w:rPr>
            </w:pPr>
            <w:r>
              <w:rPr>
                <w:rFonts w:eastAsia="Calibri" w:cstheme="minorHAnsi"/>
                <w:color w:val="000000" w:themeColor="text1"/>
                <w:lang w:val="en-IE"/>
              </w:rPr>
              <w:t>MU: UDL &amp; U – Year 1 Overview</w:t>
            </w:r>
            <w:r w:rsidR="00196914">
              <w:rPr>
                <w:rFonts w:eastAsia="Calibri" w:cstheme="minorHAnsi"/>
                <w:color w:val="000000" w:themeColor="text1"/>
                <w:lang w:val="en-IE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lang w:val="en-IE"/>
              </w:rPr>
              <w:t>Cartoon</w:t>
            </w:r>
            <w:r w:rsidR="0004564D">
              <w:rPr>
                <w:rFonts w:eastAsia="Calibri" w:cstheme="minorHAnsi"/>
                <w:color w:val="000000" w:themeColor="text1"/>
                <w:lang w:val="en-IE"/>
              </w:rPr>
              <w:t xml:space="preserve"> PDF/Image</w:t>
            </w:r>
          </w:p>
          <w:p w14:paraId="7F57770E" w14:textId="77777777" w:rsidR="00AF748C" w:rsidRPr="00FD5B96" w:rsidRDefault="00AF748C" w:rsidP="4D76C2C4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</w:p>
          <w:p w14:paraId="0CDF91C8" w14:textId="1997DEA2" w:rsidR="006A77B1" w:rsidRPr="00FD5B96" w:rsidRDefault="006A77B1" w:rsidP="4D76C2C4">
            <w:pPr>
              <w:spacing w:line="259" w:lineRule="auto"/>
              <w:rPr>
                <w:rFonts w:eastAsia="Calibri" w:cstheme="minorHAnsi"/>
                <w:color w:val="000000" w:themeColor="text1"/>
                <w:lang w:val="en-IE"/>
              </w:rPr>
            </w:pPr>
          </w:p>
        </w:tc>
      </w:tr>
    </w:tbl>
    <w:p w14:paraId="2C76D734" w14:textId="24CF8AC2" w:rsidR="3B6AE0E1" w:rsidRPr="00FD5B96" w:rsidRDefault="3B6AE0E1" w:rsidP="2CCD9E84">
      <w:pPr>
        <w:rPr>
          <w:rFonts w:eastAsiaTheme="minorEastAsia" w:cstheme="minorHAnsi"/>
          <w:color w:val="000000" w:themeColor="text1"/>
        </w:rPr>
      </w:pPr>
    </w:p>
    <w:p w14:paraId="674478AC" w14:textId="4E49E8E5" w:rsidR="4D76C2C4" w:rsidRPr="00FD5B96" w:rsidRDefault="4D76C2C4" w:rsidP="4D76C2C4">
      <w:pPr>
        <w:rPr>
          <w:rFonts w:cstheme="minorHAnsi"/>
        </w:rPr>
      </w:pPr>
    </w:p>
    <w:p w14:paraId="32EEAB56" w14:textId="74548A1F" w:rsidR="79FA0A4A" w:rsidRPr="00FD5B96" w:rsidRDefault="79FA0A4A">
      <w:pPr>
        <w:rPr>
          <w:rFonts w:cstheme="minorHAnsi"/>
        </w:rPr>
      </w:pPr>
      <w:r w:rsidRPr="00FD5B96">
        <w:rPr>
          <w:rFonts w:cstheme="minorHAnsi"/>
        </w:rPr>
        <w:br/>
      </w:r>
    </w:p>
    <w:p w14:paraId="0688913F" w14:textId="49070660" w:rsidR="4D76C2C4" w:rsidRPr="00FD5B96" w:rsidRDefault="4D76C2C4" w:rsidP="4D76C2C4">
      <w:pPr>
        <w:rPr>
          <w:rFonts w:cstheme="minorHAnsi"/>
        </w:rPr>
      </w:pPr>
    </w:p>
    <w:sectPr w:rsidR="4D76C2C4" w:rsidRPr="00FD5B96">
      <w:headerReference w:type="default" r:id="rId26"/>
      <w:footerReference w:type="even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FFBAD" w14:textId="77777777" w:rsidR="00BD2541" w:rsidRDefault="00BD2541" w:rsidP="00801E77">
      <w:pPr>
        <w:spacing w:after="0" w:line="240" w:lineRule="auto"/>
      </w:pPr>
      <w:r>
        <w:separator/>
      </w:r>
    </w:p>
  </w:endnote>
  <w:endnote w:type="continuationSeparator" w:id="0">
    <w:p w14:paraId="1ABC74D4" w14:textId="77777777" w:rsidR="00BD2541" w:rsidRDefault="00BD2541" w:rsidP="00801E77">
      <w:pPr>
        <w:spacing w:after="0" w:line="240" w:lineRule="auto"/>
      </w:pPr>
      <w:r>
        <w:continuationSeparator/>
      </w:r>
    </w:p>
  </w:endnote>
  <w:endnote w:type="continuationNotice" w:id="1">
    <w:p w14:paraId="4158EC6F" w14:textId="77777777" w:rsidR="00BD2541" w:rsidRDefault="00BD25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10313265"/>
      <w:docPartObj>
        <w:docPartGallery w:val="Page Numbers (Bottom of Page)"/>
        <w:docPartUnique/>
      </w:docPartObj>
    </w:sdtPr>
    <w:sdtContent>
      <w:p w14:paraId="4A588C6A" w14:textId="6A7709F6" w:rsidR="00430640" w:rsidRDefault="00430640" w:rsidP="00DB38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D9E835" w14:textId="77777777" w:rsidR="00430640" w:rsidRDefault="00430640" w:rsidP="004306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59332086"/>
      <w:docPartObj>
        <w:docPartGallery w:val="Page Numbers (Bottom of Page)"/>
        <w:docPartUnique/>
      </w:docPartObj>
    </w:sdtPr>
    <w:sdtContent>
      <w:p w14:paraId="669AB705" w14:textId="07231CE5" w:rsidR="00430640" w:rsidRDefault="00430640" w:rsidP="00DB38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84F48FB" w14:textId="4C7B66B8" w:rsidR="00801E77" w:rsidRDefault="00760A27" w:rsidP="00430640">
    <w:pPr>
      <w:pStyle w:val="Footer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2040BC" wp14:editId="1A2DEB6E">
          <wp:simplePos x="0" y="0"/>
          <wp:positionH relativeFrom="column">
            <wp:posOffset>3672205</wp:posOffset>
          </wp:positionH>
          <wp:positionV relativeFrom="paragraph">
            <wp:posOffset>-171450</wp:posOffset>
          </wp:positionV>
          <wp:extent cx="1790700" cy="494665"/>
          <wp:effectExtent l="0" t="0" r="0" b="635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E77">
      <w:t xml:space="preserve">                                                       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1579E" w14:textId="77777777" w:rsidR="00BD2541" w:rsidRDefault="00BD2541" w:rsidP="00801E77">
      <w:pPr>
        <w:spacing w:after="0" w:line="240" w:lineRule="auto"/>
      </w:pPr>
      <w:r>
        <w:separator/>
      </w:r>
    </w:p>
  </w:footnote>
  <w:footnote w:type="continuationSeparator" w:id="0">
    <w:p w14:paraId="61EF15D6" w14:textId="77777777" w:rsidR="00BD2541" w:rsidRDefault="00BD2541" w:rsidP="00801E77">
      <w:pPr>
        <w:spacing w:after="0" w:line="240" w:lineRule="auto"/>
      </w:pPr>
      <w:r>
        <w:continuationSeparator/>
      </w:r>
    </w:p>
  </w:footnote>
  <w:footnote w:type="continuationNotice" w:id="1">
    <w:p w14:paraId="39D6878C" w14:textId="77777777" w:rsidR="00BD2541" w:rsidRDefault="00BD25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CFA9C" w14:textId="08A31302" w:rsidR="00A115CA" w:rsidRPr="00FD5B96" w:rsidRDefault="00A115CA" w:rsidP="00A115CA">
    <w:pPr>
      <w:rPr>
        <w:rFonts w:cstheme="minorHAnsi"/>
        <w:b/>
        <w:bCs/>
        <w:sz w:val="28"/>
        <w:szCs w:val="28"/>
      </w:rPr>
    </w:pPr>
    <w:r w:rsidRPr="00FD5B96">
      <w:rPr>
        <w:rFonts w:cstheme="minorHAnsi"/>
        <w:b/>
        <w:bCs/>
        <w:sz w:val="28"/>
        <w:szCs w:val="28"/>
      </w:rPr>
      <w:t xml:space="preserve">HEA Teaching and Learning Conference </w:t>
    </w:r>
    <w:r>
      <w:rPr>
        <w:rFonts w:cstheme="minorHAnsi"/>
        <w:b/>
        <w:bCs/>
        <w:sz w:val="28"/>
        <w:szCs w:val="28"/>
      </w:rPr>
      <w:t>2024</w:t>
    </w:r>
    <w:r w:rsidRPr="00FD5B96">
      <w:rPr>
        <w:rFonts w:cstheme="minorHAnsi"/>
      </w:rPr>
      <w:tab/>
    </w:r>
    <w:r w:rsidRPr="00FD5B96">
      <w:rPr>
        <w:rFonts w:cstheme="minorHAnsi"/>
      </w:rPr>
      <w:tab/>
    </w:r>
    <w:r w:rsidRPr="00FD5B96">
      <w:rPr>
        <w:rFonts w:cstheme="minorHAnsi"/>
      </w:rPr>
      <w:tab/>
    </w:r>
    <w:r w:rsidRPr="00FD5B96">
      <w:rPr>
        <w:rFonts w:cstheme="minorHAnsi"/>
      </w:rPr>
      <w:tab/>
    </w:r>
    <w:r w:rsidRPr="00FD5B96">
      <w:rPr>
        <w:rFonts w:cstheme="minorHAnsi"/>
        <w:b/>
        <w:bCs/>
        <w:sz w:val="28"/>
        <w:szCs w:val="28"/>
      </w:rPr>
      <w:t>Case Study</w:t>
    </w:r>
  </w:p>
  <w:p w14:paraId="19933094" w14:textId="77777777" w:rsidR="00760A27" w:rsidRDefault="00760A2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D67A5"/>
    <w:multiLevelType w:val="hybridMultilevel"/>
    <w:tmpl w:val="233E5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5DDB"/>
    <w:multiLevelType w:val="hybridMultilevel"/>
    <w:tmpl w:val="DD883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2374E"/>
    <w:multiLevelType w:val="multilevel"/>
    <w:tmpl w:val="BAF4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A91B30"/>
    <w:multiLevelType w:val="multilevel"/>
    <w:tmpl w:val="4DD2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55FBF9"/>
    <w:multiLevelType w:val="hybridMultilevel"/>
    <w:tmpl w:val="799A98F0"/>
    <w:lvl w:ilvl="0" w:tplc="B784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9897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10A22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2E31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1EA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98E53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0AC7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36FE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68CD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06312"/>
    <w:multiLevelType w:val="hybridMultilevel"/>
    <w:tmpl w:val="C7024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7DEFC"/>
    <w:multiLevelType w:val="hybridMultilevel"/>
    <w:tmpl w:val="65C46A10"/>
    <w:lvl w:ilvl="0" w:tplc="60447F8C">
      <w:start w:val="1"/>
      <w:numFmt w:val="decimal"/>
      <w:lvlText w:val="•"/>
      <w:lvlJc w:val="left"/>
      <w:pPr>
        <w:ind w:left="360" w:hanging="360"/>
      </w:pPr>
    </w:lvl>
    <w:lvl w:ilvl="1" w:tplc="80B2ABD6">
      <w:start w:val="1"/>
      <w:numFmt w:val="lowerLetter"/>
      <w:lvlText w:val="%2."/>
      <w:lvlJc w:val="left"/>
      <w:pPr>
        <w:ind w:left="1080" w:hanging="360"/>
      </w:pPr>
    </w:lvl>
    <w:lvl w:ilvl="2" w:tplc="A3D232A2">
      <w:start w:val="1"/>
      <w:numFmt w:val="lowerRoman"/>
      <w:lvlText w:val="%3."/>
      <w:lvlJc w:val="right"/>
      <w:pPr>
        <w:ind w:left="1800" w:hanging="180"/>
      </w:pPr>
    </w:lvl>
    <w:lvl w:ilvl="3" w:tplc="FBDA863A">
      <w:start w:val="1"/>
      <w:numFmt w:val="decimal"/>
      <w:lvlText w:val="%4."/>
      <w:lvlJc w:val="left"/>
      <w:pPr>
        <w:ind w:left="2520" w:hanging="360"/>
      </w:pPr>
    </w:lvl>
    <w:lvl w:ilvl="4" w:tplc="DD92D9BE">
      <w:start w:val="1"/>
      <w:numFmt w:val="lowerLetter"/>
      <w:lvlText w:val="%5."/>
      <w:lvlJc w:val="left"/>
      <w:pPr>
        <w:ind w:left="3240" w:hanging="360"/>
      </w:pPr>
    </w:lvl>
    <w:lvl w:ilvl="5" w:tplc="D6E0E61E">
      <w:start w:val="1"/>
      <w:numFmt w:val="lowerRoman"/>
      <w:lvlText w:val="%6."/>
      <w:lvlJc w:val="right"/>
      <w:pPr>
        <w:ind w:left="3960" w:hanging="180"/>
      </w:pPr>
    </w:lvl>
    <w:lvl w:ilvl="6" w:tplc="9ECEC690">
      <w:start w:val="1"/>
      <w:numFmt w:val="decimal"/>
      <w:lvlText w:val="%7."/>
      <w:lvlJc w:val="left"/>
      <w:pPr>
        <w:ind w:left="4680" w:hanging="360"/>
      </w:pPr>
    </w:lvl>
    <w:lvl w:ilvl="7" w:tplc="179C31F6">
      <w:start w:val="1"/>
      <w:numFmt w:val="lowerLetter"/>
      <w:lvlText w:val="%8."/>
      <w:lvlJc w:val="left"/>
      <w:pPr>
        <w:ind w:left="5400" w:hanging="360"/>
      </w:pPr>
    </w:lvl>
    <w:lvl w:ilvl="8" w:tplc="09F8D730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0A8C10"/>
    <w:multiLevelType w:val="hybridMultilevel"/>
    <w:tmpl w:val="973C4B8A"/>
    <w:lvl w:ilvl="0" w:tplc="59C65A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F8A0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2EA68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0A0A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58A8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188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4E1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520A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3D261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6C2A3A"/>
    <w:multiLevelType w:val="hybridMultilevel"/>
    <w:tmpl w:val="51F6B15E"/>
    <w:lvl w:ilvl="0" w:tplc="18E8C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30F70"/>
    <w:multiLevelType w:val="hybridMultilevel"/>
    <w:tmpl w:val="AAAC2E62"/>
    <w:lvl w:ilvl="0" w:tplc="9DAA1568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1A3DF"/>
    <w:multiLevelType w:val="hybridMultilevel"/>
    <w:tmpl w:val="59CC7FCC"/>
    <w:lvl w:ilvl="0" w:tplc="4CD29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1828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FCD0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3E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E63A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A249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B0EE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B691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462A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4439414">
    <w:abstractNumId w:val="10"/>
  </w:num>
  <w:num w:numId="2" w16cid:durableId="233468107">
    <w:abstractNumId w:val="6"/>
  </w:num>
  <w:num w:numId="3" w16cid:durableId="1724982762">
    <w:abstractNumId w:val="4"/>
  </w:num>
  <w:num w:numId="4" w16cid:durableId="146285517">
    <w:abstractNumId w:val="7"/>
  </w:num>
  <w:num w:numId="5" w16cid:durableId="376247983">
    <w:abstractNumId w:val="8"/>
  </w:num>
  <w:num w:numId="6" w16cid:durableId="594242299">
    <w:abstractNumId w:val="2"/>
  </w:num>
  <w:num w:numId="7" w16cid:durableId="363868886">
    <w:abstractNumId w:val="3"/>
  </w:num>
  <w:num w:numId="8" w16cid:durableId="1907298544">
    <w:abstractNumId w:val="0"/>
  </w:num>
  <w:num w:numId="9" w16cid:durableId="102117240">
    <w:abstractNumId w:val="9"/>
  </w:num>
  <w:num w:numId="10" w16cid:durableId="931543985">
    <w:abstractNumId w:val="5"/>
  </w:num>
  <w:num w:numId="11" w16cid:durableId="1116025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cryptProviderType="rsaAES" w:cryptAlgorithmClass="hash" w:cryptAlgorithmType="typeAny" w:cryptAlgorithmSid="14" w:cryptSpinCount="100000" w:hash="xroGgzQ7awMNJwNH+DpusSfr0Qs1GdtppPc1VviuOaxHAZI7f4Wzmju07dvSWyWCuH9tYQpUncNI2EmPWso+0A==" w:salt="e3+HB30URU2+cudJfMZnbg=="/>
  <w:zoom w:percent="111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015A4"/>
    <w:rsid w:val="0002005C"/>
    <w:rsid w:val="0004564D"/>
    <w:rsid w:val="00047C9F"/>
    <w:rsid w:val="00052F2F"/>
    <w:rsid w:val="00096004"/>
    <w:rsid w:val="000A63C9"/>
    <w:rsid w:val="000D4E7D"/>
    <w:rsid w:val="000D5834"/>
    <w:rsid w:val="00117183"/>
    <w:rsid w:val="0012546D"/>
    <w:rsid w:val="001318B4"/>
    <w:rsid w:val="00135EC4"/>
    <w:rsid w:val="00143AEA"/>
    <w:rsid w:val="00147DFB"/>
    <w:rsid w:val="00167EC7"/>
    <w:rsid w:val="00196914"/>
    <w:rsid w:val="0019761B"/>
    <w:rsid w:val="001C59C4"/>
    <w:rsid w:val="001D1D85"/>
    <w:rsid w:val="001E33C6"/>
    <w:rsid w:val="00211371"/>
    <w:rsid w:val="00212C6B"/>
    <w:rsid w:val="00242D7F"/>
    <w:rsid w:val="00263C55"/>
    <w:rsid w:val="00273D1F"/>
    <w:rsid w:val="00281D5B"/>
    <w:rsid w:val="00281E9B"/>
    <w:rsid w:val="00287E47"/>
    <w:rsid w:val="002A1AE1"/>
    <w:rsid w:val="002A2837"/>
    <w:rsid w:val="002A4049"/>
    <w:rsid w:val="002E2143"/>
    <w:rsid w:val="00320C9E"/>
    <w:rsid w:val="003267D0"/>
    <w:rsid w:val="0033716F"/>
    <w:rsid w:val="003505EC"/>
    <w:rsid w:val="00362471"/>
    <w:rsid w:val="00384E38"/>
    <w:rsid w:val="00387D33"/>
    <w:rsid w:val="003A2D3B"/>
    <w:rsid w:val="003C0B96"/>
    <w:rsid w:val="003C1FF4"/>
    <w:rsid w:val="003C71C1"/>
    <w:rsid w:val="003E7A48"/>
    <w:rsid w:val="003F589F"/>
    <w:rsid w:val="004008DD"/>
    <w:rsid w:val="00421161"/>
    <w:rsid w:val="00430640"/>
    <w:rsid w:val="004748BD"/>
    <w:rsid w:val="00477404"/>
    <w:rsid w:val="00484075"/>
    <w:rsid w:val="004B1054"/>
    <w:rsid w:val="004B67D1"/>
    <w:rsid w:val="00503554"/>
    <w:rsid w:val="005064EC"/>
    <w:rsid w:val="005163E2"/>
    <w:rsid w:val="00516E20"/>
    <w:rsid w:val="0054371E"/>
    <w:rsid w:val="00565F9E"/>
    <w:rsid w:val="005B4B64"/>
    <w:rsid w:val="005B4BA2"/>
    <w:rsid w:val="005F01CC"/>
    <w:rsid w:val="0060796E"/>
    <w:rsid w:val="00612E34"/>
    <w:rsid w:val="00615406"/>
    <w:rsid w:val="00622EF9"/>
    <w:rsid w:val="00630B93"/>
    <w:rsid w:val="006351C9"/>
    <w:rsid w:val="00642159"/>
    <w:rsid w:val="00642488"/>
    <w:rsid w:val="00651CA0"/>
    <w:rsid w:val="006540C9"/>
    <w:rsid w:val="006658E5"/>
    <w:rsid w:val="006963F9"/>
    <w:rsid w:val="006A5D1C"/>
    <w:rsid w:val="006A77B1"/>
    <w:rsid w:val="006B07F2"/>
    <w:rsid w:val="006D68B5"/>
    <w:rsid w:val="007247EA"/>
    <w:rsid w:val="007250F6"/>
    <w:rsid w:val="00726B57"/>
    <w:rsid w:val="0073372B"/>
    <w:rsid w:val="00740AB0"/>
    <w:rsid w:val="007418B1"/>
    <w:rsid w:val="00760A27"/>
    <w:rsid w:val="0079733A"/>
    <w:rsid w:val="007A4029"/>
    <w:rsid w:val="007A6E88"/>
    <w:rsid w:val="007A74EA"/>
    <w:rsid w:val="007B7FE9"/>
    <w:rsid w:val="007C547D"/>
    <w:rsid w:val="007C5B64"/>
    <w:rsid w:val="00801E77"/>
    <w:rsid w:val="008061AC"/>
    <w:rsid w:val="00820248"/>
    <w:rsid w:val="00827C91"/>
    <w:rsid w:val="00844E18"/>
    <w:rsid w:val="00847A99"/>
    <w:rsid w:val="00852948"/>
    <w:rsid w:val="008625E7"/>
    <w:rsid w:val="008B3462"/>
    <w:rsid w:val="008B612D"/>
    <w:rsid w:val="008C3735"/>
    <w:rsid w:val="008D7D1D"/>
    <w:rsid w:val="008E0185"/>
    <w:rsid w:val="00917993"/>
    <w:rsid w:val="00934830"/>
    <w:rsid w:val="00947625"/>
    <w:rsid w:val="00954302"/>
    <w:rsid w:val="00955DA3"/>
    <w:rsid w:val="00967DDB"/>
    <w:rsid w:val="0097316F"/>
    <w:rsid w:val="00973365"/>
    <w:rsid w:val="00976581"/>
    <w:rsid w:val="00977F2C"/>
    <w:rsid w:val="00987020"/>
    <w:rsid w:val="0099707C"/>
    <w:rsid w:val="009A7555"/>
    <w:rsid w:val="009C5D0E"/>
    <w:rsid w:val="009F0258"/>
    <w:rsid w:val="00A035F1"/>
    <w:rsid w:val="00A115CA"/>
    <w:rsid w:val="00A171A1"/>
    <w:rsid w:val="00A31A07"/>
    <w:rsid w:val="00A33E0A"/>
    <w:rsid w:val="00A3530E"/>
    <w:rsid w:val="00A37D31"/>
    <w:rsid w:val="00A406B6"/>
    <w:rsid w:val="00A513D9"/>
    <w:rsid w:val="00A61B55"/>
    <w:rsid w:val="00A91528"/>
    <w:rsid w:val="00AC6286"/>
    <w:rsid w:val="00AD1ECC"/>
    <w:rsid w:val="00AD6CBC"/>
    <w:rsid w:val="00AF1D76"/>
    <w:rsid w:val="00AF748C"/>
    <w:rsid w:val="00B02F53"/>
    <w:rsid w:val="00B079CB"/>
    <w:rsid w:val="00B25A82"/>
    <w:rsid w:val="00B51102"/>
    <w:rsid w:val="00B5385E"/>
    <w:rsid w:val="00B62B98"/>
    <w:rsid w:val="00B633CE"/>
    <w:rsid w:val="00BD2541"/>
    <w:rsid w:val="00BF5669"/>
    <w:rsid w:val="00C36B91"/>
    <w:rsid w:val="00C467E3"/>
    <w:rsid w:val="00C55E64"/>
    <w:rsid w:val="00C90A38"/>
    <w:rsid w:val="00C94E5B"/>
    <w:rsid w:val="00CC461E"/>
    <w:rsid w:val="00CC5F52"/>
    <w:rsid w:val="00CE6ED9"/>
    <w:rsid w:val="00CF2FFC"/>
    <w:rsid w:val="00D153F8"/>
    <w:rsid w:val="00D20B9A"/>
    <w:rsid w:val="00D25FFF"/>
    <w:rsid w:val="00D51BB2"/>
    <w:rsid w:val="00D67A21"/>
    <w:rsid w:val="00D779CD"/>
    <w:rsid w:val="00D84235"/>
    <w:rsid w:val="00D859F6"/>
    <w:rsid w:val="00DC7317"/>
    <w:rsid w:val="00DF606D"/>
    <w:rsid w:val="00E07E2A"/>
    <w:rsid w:val="00E36DA1"/>
    <w:rsid w:val="00E56C5D"/>
    <w:rsid w:val="00E86716"/>
    <w:rsid w:val="00EA0D3F"/>
    <w:rsid w:val="00EA5A46"/>
    <w:rsid w:val="00EB2E97"/>
    <w:rsid w:val="00EC6616"/>
    <w:rsid w:val="00ED68BE"/>
    <w:rsid w:val="00EF4CBC"/>
    <w:rsid w:val="00F04D49"/>
    <w:rsid w:val="00F10C32"/>
    <w:rsid w:val="00F319EA"/>
    <w:rsid w:val="00F33081"/>
    <w:rsid w:val="00F42996"/>
    <w:rsid w:val="00F56669"/>
    <w:rsid w:val="00F77C41"/>
    <w:rsid w:val="00FC0B02"/>
    <w:rsid w:val="00FC64C1"/>
    <w:rsid w:val="00FD5B96"/>
    <w:rsid w:val="00FD6B4C"/>
    <w:rsid w:val="00FF2BBA"/>
    <w:rsid w:val="00FF3764"/>
    <w:rsid w:val="00FF486C"/>
    <w:rsid w:val="0125732B"/>
    <w:rsid w:val="012C5658"/>
    <w:rsid w:val="013667E4"/>
    <w:rsid w:val="0209CAEF"/>
    <w:rsid w:val="02B7D75B"/>
    <w:rsid w:val="031C8119"/>
    <w:rsid w:val="0324224D"/>
    <w:rsid w:val="03258958"/>
    <w:rsid w:val="0325DB1F"/>
    <w:rsid w:val="039B8260"/>
    <w:rsid w:val="03FB30CB"/>
    <w:rsid w:val="0481B764"/>
    <w:rsid w:val="04A71202"/>
    <w:rsid w:val="05729EE0"/>
    <w:rsid w:val="05ABB751"/>
    <w:rsid w:val="05DD7A90"/>
    <w:rsid w:val="05E42EC0"/>
    <w:rsid w:val="0609D907"/>
    <w:rsid w:val="0611C68D"/>
    <w:rsid w:val="06F6F917"/>
    <w:rsid w:val="0779F1A7"/>
    <w:rsid w:val="07AD96EE"/>
    <w:rsid w:val="07CB10FC"/>
    <w:rsid w:val="080348E3"/>
    <w:rsid w:val="088043FE"/>
    <w:rsid w:val="089E821C"/>
    <w:rsid w:val="0903A1CC"/>
    <w:rsid w:val="09160930"/>
    <w:rsid w:val="092B576A"/>
    <w:rsid w:val="0938D8ED"/>
    <w:rsid w:val="0946C73D"/>
    <w:rsid w:val="095F1382"/>
    <w:rsid w:val="09E59CFD"/>
    <w:rsid w:val="0ADD4A2A"/>
    <w:rsid w:val="0B0F8F9D"/>
    <w:rsid w:val="0BA46E5C"/>
    <w:rsid w:val="0BC74D28"/>
    <w:rsid w:val="0BFDBB8F"/>
    <w:rsid w:val="0C08470A"/>
    <w:rsid w:val="0C0B2874"/>
    <w:rsid w:val="0C2BA8DC"/>
    <w:rsid w:val="0CCB2E81"/>
    <w:rsid w:val="0D405C4A"/>
    <w:rsid w:val="0D41B60F"/>
    <w:rsid w:val="0D95DFB5"/>
    <w:rsid w:val="0D9A025E"/>
    <w:rsid w:val="0E17B8EA"/>
    <w:rsid w:val="0E1CD872"/>
    <w:rsid w:val="0E59620A"/>
    <w:rsid w:val="0E5CD28F"/>
    <w:rsid w:val="0F40D9B9"/>
    <w:rsid w:val="0F49884C"/>
    <w:rsid w:val="0F8C749F"/>
    <w:rsid w:val="0FB2739F"/>
    <w:rsid w:val="0FB8A8D3"/>
    <w:rsid w:val="0FE4426F"/>
    <w:rsid w:val="10D4A0AE"/>
    <w:rsid w:val="11496480"/>
    <w:rsid w:val="11547934"/>
    <w:rsid w:val="1177FDD1"/>
    <w:rsid w:val="117CD6DF"/>
    <w:rsid w:val="11C28BD0"/>
    <w:rsid w:val="1213CD6D"/>
    <w:rsid w:val="125253C1"/>
    <w:rsid w:val="13456AB4"/>
    <w:rsid w:val="13657DF7"/>
    <w:rsid w:val="144F85A9"/>
    <w:rsid w:val="145743C2"/>
    <w:rsid w:val="1488ED92"/>
    <w:rsid w:val="15018785"/>
    <w:rsid w:val="150B097B"/>
    <w:rsid w:val="15BCF6F8"/>
    <w:rsid w:val="15C8CD8D"/>
    <w:rsid w:val="15CB76A3"/>
    <w:rsid w:val="165288CF"/>
    <w:rsid w:val="1672A5A7"/>
    <w:rsid w:val="16868B70"/>
    <w:rsid w:val="1705E9F7"/>
    <w:rsid w:val="17C469D7"/>
    <w:rsid w:val="17DEDED1"/>
    <w:rsid w:val="17E28867"/>
    <w:rsid w:val="1829BC70"/>
    <w:rsid w:val="1871AC96"/>
    <w:rsid w:val="1892B099"/>
    <w:rsid w:val="196A8AAB"/>
    <w:rsid w:val="1A04C6D0"/>
    <w:rsid w:val="1B719FDF"/>
    <w:rsid w:val="1BCE088A"/>
    <w:rsid w:val="1D5FC75F"/>
    <w:rsid w:val="1D687E33"/>
    <w:rsid w:val="1D7BB95C"/>
    <w:rsid w:val="1DD1AA93"/>
    <w:rsid w:val="1E35A044"/>
    <w:rsid w:val="1E8ED4C4"/>
    <w:rsid w:val="1EFA9BA1"/>
    <w:rsid w:val="1EFC6BBF"/>
    <w:rsid w:val="1F2BEE81"/>
    <w:rsid w:val="1F489526"/>
    <w:rsid w:val="1FB91E47"/>
    <w:rsid w:val="1FFFB505"/>
    <w:rsid w:val="213C5749"/>
    <w:rsid w:val="2185A63A"/>
    <w:rsid w:val="219912ED"/>
    <w:rsid w:val="221D37BE"/>
    <w:rsid w:val="22E71AD4"/>
    <w:rsid w:val="2367C24A"/>
    <w:rsid w:val="23C2F810"/>
    <w:rsid w:val="243AD028"/>
    <w:rsid w:val="258C84A9"/>
    <w:rsid w:val="25E0645F"/>
    <w:rsid w:val="263E0E21"/>
    <w:rsid w:val="266319CD"/>
    <w:rsid w:val="26DDE489"/>
    <w:rsid w:val="26E0D9C2"/>
    <w:rsid w:val="27031994"/>
    <w:rsid w:val="271E39B2"/>
    <w:rsid w:val="273BC527"/>
    <w:rsid w:val="27B0E6B7"/>
    <w:rsid w:val="27C2F8E4"/>
    <w:rsid w:val="27C96786"/>
    <w:rsid w:val="27D6B754"/>
    <w:rsid w:val="2838E0A3"/>
    <w:rsid w:val="28A12041"/>
    <w:rsid w:val="28AC8B92"/>
    <w:rsid w:val="2917C03B"/>
    <w:rsid w:val="2A36357B"/>
    <w:rsid w:val="2ACAC868"/>
    <w:rsid w:val="2AFB88AD"/>
    <w:rsid w:val="2B0B5B27"/>
    <w:rsid w:val="2B3C1EE6"/>
    <w:rsid w:val="2BEEC172"/>
    <w:rsid w:val="2C1E6CF2"/>
    <w:rsid w:val="2C75CB53"/>
    <w:rsid w:val="2CBA37F0"/>
    <w:rsid w:val="2CCD9E84"/>
    <w:rsid w:val="2CD89E66"/>
    <w:rsid w:val="2D86A29D"/>
    <w:rsid w:val="2DB88DA9"/>
    <w:rsid w:val="2DDBD4D0"/>
    <w:rsid w:val="2DE4B1E1"/>
    <w:rsid w:val="2E1D3B80"/>
    <w:rsid w:val="2E473E74"/>
    <w:rsid w:val="2EBCC9DD"/>
    <w:rsid w:val="2F5F1FF5"/>
    <w:rsid w:val="2F65C099"/>
    <w:rsid w:val="2F94BAD0"/>
    <w:rsid w:val="2FE0867F"/>
    <w:rsid w:val="2FF5B81D"/>
    <w:rsid w:val="3042A98F"/>
    <w:rsid w:val="309BAFF7"/>
    <w:rsid w:val="3144F35D"/>
    <w:rsid w:val="319DF337"/>
    <w:rsid w:val="31B0331F"/>
    <w:rsid w:val="32306B5E"/>
    <w:rsid w:val="32DE61C0"/>
    <w:rsid w:val="32F36785"/>
    <w:rsid w:val="33149967"/>
    <w:rsid w:val="3348400A"/>
    <w:rsid w:val="33740D1D"/>
    <w:rsid w:val="343C3354"/>
    <w:rsid w:val="34A5E96E"/>
    <w:rsid w:val="35331420"/>
    <w:rsid w:val="356FC237"/>
    <w:rsid w:val="3592FC20"/>
    <w:rsid w:val="367DA083"/>
    <w:rsid w:val="36DF2020"/>
    <w:rsid w:val="37B3775E"/>
    <w:rsid w:val="380C26F4"/>
    <w:rsid w:val="3828206F"/>
    <w:rsid w:val="3882E6AF"/>
    <w:rsid w:val="3897782F"/>
    <w:rsid w:val="38B17485"/>
    <w:rsid w:val="3959B8FB"/>
    <w:rsid w:val="39BE6E5F"/>
    <w:rsid w:val="3A504AE4"/>
    <w:rsid w:val="3A61E656"/>
    <w:rsid w:val="3A69ACFB"/>
    <w:rsid w:val="3AC7F2D8"/>
    <w:rsid w:val="3B3802F0"/>
    <w:rsid w:val="3B389541"/>
    <w:rsid w:val="3B6AE0E1"/>
    <w:rsid w:val="3BD4EE5C"/>
    <w:rsid w:val="3BDF03BB"/>
    <w:rsid w:val="3C20B859"/>
    <w:rsid w:val="3C8EABA2"/>
    <w:rsid w:val="3C9DEAA5"/>
    <w:rsid w:val="3CAC5712"/>
    <w:rsid w:val="3CB787F2"/>
    <w:rsid w:val="3CC97F63"/>
    <w:rsid w:val="3CDCD83A"/>
    <w:rsid w:val="3D9ACEE7"/>
    <w:rsid w:val="3DAB8C86"/>
    <w:rsid w:val="3E1D0662"/>
    <w:rsid w:val="3F1597B8"/>
    <w:rsid w:val="3F16A47D"/>
    <w:rsid w:val="3F6EF53A"/>
    <w:rsid w:val="3F8A8799"/>
    <w:rsid w:val="3FD186F9"/>
    <w:rsid w:val="405B8DE3"/>
    <w:rsid w:val="408F2F29"/>
    <w:rsid w:val="40D0435F"/>
    <w:rsid w:val="419CC456"/>
    <w:rsid w:val="41B6598B"/>
    <w:rsid w:val="41BA2A24"/>
    <w:rsid w:val="423AE41C"/>
    <w:rsid w:val="423BADF8"/>
    <w:rsid w:val="424DE75F"/>
    <w:rsid w:val="4265D54C"/>
    <w:rsid w:val="42AE23EA"/>
    <w:rsid w:val="43EA15A0"/>
    <w:rsid w:val="4488BB05"/>
    <w:rsid w:val="4494DF87"/>
    <w:rsid w:val="44D49148"/>
    <w:rsid w:val="450A1850"/>
    <w:rsid w:val="45F0AD81"/>
    <w:rsid w:val="46094B25"/>
    <w:rsid w:val="46796399"/>
    <w:rsid w:val="468165E0"/>
    <w:rsid w:val="4682AFE8"/>
    <w:rsid w:val="4744916F"/>
    <w:rsid w:val="47549D90"/>
    <w:rsid w:val="47C96895"/>
    <w:rsid w:val="47E9B826"/>
    <w:rsid w:val="4838B33E"/>
    <w:rsid w:val="48900875"/>
    <w:rsid w:val="493683B5"/>
    <w:rsid w:val="4969F39B"/>
    <w:rsid w:val="49E87A76"/>
    <w:rsid w:val="4A995280"/>
    <w:rsid w:val="4AA7DFCE"/>
    <w:rsid w:val="4ABDA587"/>
    <w:rsid w:val="4B9EAE6C"/>
    <w:rsid w:val="4BD9F2C8"/>
    <w:rsid w:val="4BEBB7A2"/>
    <w:rsid w:val="4CA12FC5"/>
    <w:rsid w:val="4CE6B4DD"/>
    <w:rsid w:val="4D76C2C4"/>
    <w:rsid w:val="4D97E244"/>
    <w:rsid w:val="4DD7DEE5"/>
    <w:rsid w:val="4DEA9544"/>
    <w:rsid w:val="4E0A3D4B"/>
    <w:rsid w:val="4E2DE868"/>
    <w:rsid w:val="4E7581BA"/>
    <w:rsid w:val="4ED2CC65"/>
    <w:rsid w:val="4F4812FE"/>
    <w:rsid w:val="4F55BF22"/>
    <w:rsid w:val="4F7AB274"/>
    <w:rsid w:val="4FB28722"/>
    <w:rsid w:val="4FFB4156"/>
    <w:rsid w:val="500762DD"/>
    <w:rsid w:val="50530236"/>
    <w:rsid w:val="507B1DA5"/>
    <w:rsid w:val="519A3E39"/>
    <w:rsid w:val="51B3759A"/>
    <w:rsid w:val="520AE445"/>
    <w:rsid w:val="52120902"/>
    <w:rsid w:val="521F5D5C"/>
    <w:rsid w:val="5235D015"/>
    <w:rsid w:val="524DD12A"/>
    <w:rsid w:val="52C8C456"/>
    <w:rsid w:val="53B1AFCD"/>
    <w:rsid w:val="53FC4483"/>
    <w:rsid w:val="548562D9"/>
    <w:rsid w:val="5498516F"/>
    <w:rsid w:val="54AED99B"/>
    <w:rsid w:val="54FE0DE9"/>
    <w:rsid w:val="55303C76"/>
    <w:rsid w:val="5547EDB0"/>
    <w:rsid w:val="55D57C24"/>
    <w:rsid w:val="56B27A20"/>
    <w:rsid w:val="56DE5568"/>
    <w:rsid w:val="57612009"/>
    <w:rsid w:val="586974E7"/>
    <w:rsid w:val="5891F605"/>
    <w:rsid w:val="58A24372"/>
    <w:rsid w:val="58C34C94"/>
    <w:rsid w:val="59390FF0"/>
    <w:rsid w:val="59DEA8C5"/>
    <w:rsid w:val="59E44BF3"/>
    <w:rsid w:val="59E82668"/>
    <w:rsid w:val="5A22FB25"/>
    <w:rsid w:val="5A2ACBA2"/>
    <w:rsid w:val="5A47CF2B"/>
    <w:rsid w:val="5A9515D8"/>
    <w:rsid w:val="5B173A62"/>
    <w:rsid w:val="5B5C1496"/>
    <w:rsid w:val="5BA4949A"/>
    <w:rsid w:val="5C028BDF"/>
    <w:rsid w:val="5C338BF8"/>
    <w:rsid w:val="5C5B25A3"/>
    <w:rsid w:val="5D046058"/>
    <w:rsid w:val="5D7FA1D0"/>
    <w:rsid w:val="5D8E5C7A"/>
    <w:rsid w:val="5DA740BB"/>
    <w:rsid w:val="5E7918FC"/>
    <w:rsid w:val="5E978BA5"/>
    <w:rsid w:val="5F470FE6"/>
    <w:rsid w:val="5FD75DF7"/>
    <w:rsid w:val="6068CED2"/>
    <w:rsid w:val="60785BB1"/>
    <w:rsid w:val="60C947A3"/>
    <w:rsid w:val="60D77B8C"/>
    <w:rsid w:val="61035424"/>
    <w:rsid w:val="61126A63"/>
    <w:rsid w:val="612D6046"/>
    <w:rsid w:val="6196DE34"/>
    <w:rsid w:val="622C435C"/>
    <w:rsid w:val="625F1676"/>
    <w:rsid w:val="62C37C21"/>
    <w:rsid w:val="62DB9C79"/>
    <w:rsid w:val="6313CBA0"/>
    <w:rsid w:val="63642A8C"/>
    <w:rsid w:val="63D8FA45"/>
    <w:rsid w:val="63F4BB6E"/>
    <w:rsid w:val="6470F2EF"/>
    <w:rsid w:val="6498037D"/>
    <w:rsid w:val="649DBD94"/>
    <w:rsid w:val="64C96453"/>
    <w:rsid w:val="65383733"/>
    <w:rsid w:val="65A42A95"/>
    <w:rsid w:val="6607A081"/>
    <w:rsid w:val="663082C5"/>
    <w:rsid w:val="669CEE81"/>
    <w:rsid w:val="677F687D"/>
    <w:rsid w:val="677F8EFF"/>
    <w:rsid w:val="67800165"/>
    <w:rsid w:val="67EDFEF1"/>
    <w:rsid w:val="68231872"/>
    <w:rsid w:val="6823CAA3"/>
    <w:rsid w:val="68273CAA"/>
    <w:rsid w:val="682D2212"/>
    <w:rsid w:val="682E8AFD"/>
    <w:rsid w:val="6859D84D"/>
    <w:rsid w:val="688A5F36"/>
    <w:rsid w:val="693B1BB6"/>
    <w:rsid w:val="6943DD51"/>
    <w:rsid w:val="695414BF"/>
    <w:rsid w:val="69A7B1AA"/>
    <w:rsid w:val="6A02506F"/>
    <w:rsid w:val="6A5FBC85"/>
    <w:rsid w:val="6A80CBF2"/>
    <w:rsid w:val="6AA5DA48"/>
    <w:rsid w:val="6AC2CEB4"/>
    <w:rsid w:val="6AC3419D"/>
    <w:rsid w:val="6AD09B7B"/>
    <w:rsid w:val="6B3FCD62"/>
    <w:rsid w:val="6BB33DD8"/>
    <w:rsid w:val="6BC24AB4"/>
    <w:rsid w:val="6BC9AECE"/>
    <w:rsid w:val="6C2835B1"/>
    <w:rsid w:val="6C3921E1"/>
    <w:rsid w:val="6C4D01F5"/>
    <w:rsid w:val="6CAC5814"/>
    <w:rsid w:val="6E344538"/>
    <w:rsid w:val="6E943B6F"/>
    <w:rsid w:val="6F4ACFA8"/>
    <w:rsid w:val="6F4E35FA"/>
    <w:rsid w:val="6F717887"/>
    <w:rsid w:val="6F78B590"/>
    <w:rsid w:val="7123623C"/>
    <w:rsid w:val="7141CCEB"/>
    <w:rsid w:val="71481ED3"/>
    <w:rsid w:val="714981EE"/>
    <w:rsid w:val="7195E55B"/>
    <w:rsid w:val="71ABE10D"/>
    <w:rsid w:val="71EEF865"/>
    <w:rsid w:val="722E9346"/>
    <w:rsid w:val="7263C748"/>
    <w:rsid w:val="727D6D24"/>
    <w:rsid w:val="72B9E7BF"/>
    <w:rsid w:val="72BDC9F6"/>
    <w:rsid w:val="7309EB24"/>
    <w:rsid w:val="73629147"/>
    <w:rsid w:val="7369D3DC"/>
    <w:rsid w:val="737D186F"/>
    <w:rsid w:val="738AC8C6"/>
    <w:rsid w:val="75553E64"/>
    <w:rsid w:val="75593322"/>
    <w:rsid w:val="75BFA526"/>
    <w:rsid w:val="75D08F62"/>
    <w:rsid w:val="7623210B"/>
    <w:rsid w:val="76585C8F"/>
    <w:rsid w:val="76AFA4A2"/>
    <w:rsid w:val="76FF6DE4"/>
    <w:rsid w:val="77052EAD"/>
    <w:rsid w:val="77B918FB"/>
    <w:rsid w:val="788D602A"/>
    <w:rsid w:val="78FA33E2"/>
    <w:rsid w:val="791A740F"/>
    <w:rsid w:val="795C2FE3"/>
    <w:rsid w:val="79D117AB"/>
    <w:rsid w:val="79FA0A4A"/>
    <w:rsid w:val="7A8C362C"/>
    <w:rsid w:val="7A9FB883"/>
    <w:rsid w:val="7B18DD6B"/>
    <w:rsid w:val="7B74E9AB"/>
    <w:rsid w:val="7BC7D504"/>
    <w:rsid w:val="7D0E1CDF"/>
    <w:rsid w:val="7DC3D1D2"/>
    <w:rsid w:val="7DD751B7"/>
    <w:rsid w:val="7DF0C6BE"/>
    <w:rsid w:val="7DFEC721"/>
    <w:rsid w:val="7EBDC2BD"/>
    <w:rsid w:val="7F638F0A"/>
    <w:rsid w:val="7F85B25E"/>
    <w:rsid w:val="7F873EAB"/>
    <w:rsid w:val="7F90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460AC84C-B2E1-497A-9C54-5353ED04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77"/>
  </w:style>
  <w:style w:type="paragraph" w:styleId="Revision">
    <w:name w:val="Revision"/>
    <w:hidden/>
    <w:uiPriority w:val="99"/>
    <w:semiHidden/>
    <w:rsid w:val="009733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B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7D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43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rategy.maynoothuniversity.ie/" TargetMode="External"/><Relationship Id="rId18" Type="http://schemas.openxmlformats.org/officeDocument/2006/relationships/hyperlink" Target="https://www.maynoothuniversity.ie/news-events/mu-udl-u-awareness-campaign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gctlc.org/16th-european-conference-research-chemical-educatio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ea.ie/policy/access-policy/national-access-plan-2022-2028/" TargetMode="External"/><Relationship Id="rId17" Type="http://schemas.openxmlformats.org/officeDocument/2006/relationships/hyperlink" Target="https://www.maynoothuniversity.ie/centre-teaching-and-learning/ctl-projects/path-initiative" TargetMode="External"/><Relationship Id="rId25" Type="http://schemas.openxmlformats.org/officeDocument/2006/relationships/hyperlink" Target="https://eur02.safelinks.protection.outlook.com/?url=https%3A%2F%2Fwww.maynoothuniversity.ie%2Fsites%2Fdefault%2Ffiles%2Fassets%2Fdocument%2F%2F1.%2520Plus%25201%2520Announcing%2520that%2520Module%2520is%2520Inclusive%2520Space%2520Final.pdf&amp;data=05%7C02%7Clisa.oregan%40mu.ie%7C2dcce1195d4848ab7f2c08dd07e7c964%7C1454f5ccbb354685bbd98621fd8055c9%7C0%7C0%7C638675414294014207%7CUnknown%7CTWFpbGZsb3d8eyJFbXB0eU1hcGkiOnRydWUsIlYiOiIwLjAuMDAwMCIsIlAiOiJXaW4zMiIsIkFOIjoiTWFpbCIsIldUIjoyfQ%3D%3D%7C0%7C%7C%7C&amp;sdata=hlhZJCYI%2BNl00jfjJzFtBnR1Wu%2FX%2FLrulU%2FmNtq7vV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eachingandlearning.ie/wp-content/uploads/Next-Steps.pdf" TargetMode="External"/><Relationship Id="rId20" Type="http://schemas.openxmlformats.org/officeDocument/2006/relationships/hyperlink" Target="https://www.maynoothuniversity.ie/education/udl-international-symposium-learning-togethe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.ie/policy/access-policy/path/" TargetMode="External"/><Relationship Id="rId24" Type="http://schemas.openxmlformats.org/officeDocument/2006/relationships/hyperlink" Target="https://eur02.safelinks.protection.outlook.com/?url=https%3A%2F%2Fwww.maynoothuniversity.ie%2Fsites%2Fdefault%2Ffiles%2Fassets%2Fdocument%2F%2F7.%2520Plus%25201%2520Offering%2520content%2520choice%2520example%2520Final.pdf&amp;data=05%7C02%7Clisa.oregan%40mu.ie%7C2dcce1195d4848ab7f2c08dd07e7c964%7C1454f5ccbb354685bbd98621fd8055c9%7C0%7C0%7C638675414293985147%7CUnknown%7CTWFpbGZsb3d8eyJFbXB0eU1hcGkiOnRydWUsIlYiOiIwLjAuMDAwMCIsIlAiOiJXaW4zMiIsIkFOIjoiTWFpbCIsIldUIjoyfQ%3D%3D%7C0%7C%7C%7C&amp;sdata=puYBKZHE%2FEc5dc%2BZfrYnD19vU88L88axFpw8IuwplFg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ynoothuniversity.ie/edi/student-charter" TargetMode="External"/><Relationship Id="rId23" Type="http://schemas.openxmlformats.org/officeDocument/2006/relationships/hyperlink" Target="https://www.maynoothuniversity.ie/centre-teaching-and-learning/ctl-projects/path-initiative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include.wp.worc.ac.uk/conference-details/" TargetMode="Externa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ynoothuniversity.ie/sites/default/files/assets/document/MU_SSI%20-%20Student%20Success%20Strategy.pdf" TargetMode="External"/><Relationship Id="rId22" Type="http://schemas.openxmlformats.org/officeDocument/2006/relationships/hyperlink" Target="mailto:teachingandlearning@mu.ie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42FEB19533A46AF6DE838EEB5D3A1" ma:contentTypeVersion="15" ma:contentTypeDescription="Create a new document." ma:contentTypeScope="" ma:versionID="13d672d9b38bf7531ec559fb5f52111c">
  <xsd:schema xmlns:xsd="http://www.w3.org/2001/XMLSchema" xmlns:xs="http://www.w3.org/2001/XMLSchema" xmlns:p="http://schemas.microsoft.com/office/2006/metadata/properties" xmlns:ns2="cfd7e7d9-0310-483a-aeac-4c20c5d213c6" xmlns:ns3="08ccb4e3-8c2b-42fa-955c-c88d4e1ca4ca" targetNamespace="http://schemas.microsoft.com/office/2006/metadata/properties" ma:root="true" ma:fieldsID="b8cb17ee34344e97a43dd35e8d4ab9cd" ns2:_="" ns3:_="">
    <xsd:import namespace="cfd7e7d9-0310-483a-aeac-4c20c5d213c6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e7d9-0310-483a-aeac-4c20c5d21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cfd7e7d9-0310-483a-aeac-4c20c5d213c6">
      <Terms xmlns="http://schemas.microsoft.com/office/infopath/2007/PartnerControls"/>
    </lcf76f155ced4ddcb4097134ff3c332f>
    <SharedWithUsers xmlns="08ccb4e3-8c2b-42fa-955c-c88d4e1ca4ca">
      <UserInfo>
        <DisplayName/>
        <AccountId xsi:nil="true"/>
        <AccountType/>
      </UserInfo>
    </SharedWithUsers>
    <MediaLengthInSeconds xmlns="cfd7e7d9-0310-483a-aeac-4c20c5d213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2FBF2-FE08-4CA8-A39C-465070576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7e7d9-0310-483a-aeac-4c20c5d213c6"/>
    <ds:schemaRef ds:uri="08ccb4e3-8c2b-42fa-955c-c88d4e1ca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cfd7e7d9-0310-483a-aeac-4c20c5d213c6"/>
  </ds:schemaRefs>
</ds:datastoreItem>
</file>

<file path=customXml/itemProps4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2407</Words>
  <Characters>13725</Characters>
  <Application>Microsoft Office Word</Application>
  <DocSecurity>12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Lowry</dc:creator>
  <cp:keywords/>
  <dc:description/>
  <cp:lastModifiedBy>Colin Lowry</cp:lastModifiedBy>
  <cp:revision>3</cp:revision>
  <dcterms:created xsi:type="dcterms:W3CDTF">2024-12-08T19:32:00Z</dcterms:created>
  <dcterms:modified xsi:type="dcterms:W3CDTF">2024-12-08T19:32:00Z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0x010100DA942FEB19533A46AF6DE838EEB5D3A1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  <property fmtid="{D5CDD505-2E9C-101B-9397-08002B2CF9AE}" pid="5" name="Order">
    <vt:i4>43100</vt:i4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